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6DD58" w14:textId="4D3F5CCD" w:rsidR="00A030CB" w:rsidRPr="00A030CB" w:rsidRDefault="0040746E">
      <w:pPr>
        <w:rPr>
          <w:b/>
          <w:bCs/>
        </w:rPr>
      </w:pPr>
      <w:bookmarkStart w:id="0" w:name="_GoBack"/>
      <w:r>
        <w:rPr>
          <w:b/>
          <w:bCs/>
        </w:rPr>
        <w:t>Ρυθμοί και αριθμοί της Ελληνικής και Ευρωπαϊκής Δικαιοσύνης</w:t>
      </w:r>
    </w:p>
    <w:bookmarkEnd w:id="0"/>
    <w:p w14:paraId="4FA26C0D" w14:textId="77777777" w:rsidR="00A030CB" w:rsidRPr="00F47914" w:rsidRDefault="00A030CB">
      <w:pPr>
        <w:rPr>
          <w:b/>
          <w:bCs/>
        </w:rPr>
      </w:pPr>
    </w:p>
    <w:p w14:paraId="72A16880" w14:textId="2DDB06D5" w:rsidR="00F336CF" w:rsidRPr="00A030CB" w:rsidRDefault="00A030CB">
      <w:pPr>
        <w:rPr>
          <w:b/>
          <w:bCs/>
        </w:rPr>
      </w:pPr>
      <w:r w:rsidRPr="00A030CB">
        <w:rPr>
          <w:b/>
          <w:bCs/>
        </w:rPr>
        <w:t>1</w:t>
      </w:r>
      <w:r w:rsidRPr="00A030CB">
        <w:rPr>
          <w:b/>
          <w:bCs/>
          <w:vertAlign w:val="superscript"/>
        </w:rPr>
        <w:t>ο</w:t>
      </w:r>
      <w:r w:rsidRPr="00A030CB">
        <w:rPr>
          <w:b/>
          <w:bCs/>
        </w:rPr>
        <w:t xml:space="preserve"> Μέρος: ταχύτητα απονομής της δικαιοσύνης</w:t>
      </w:r>
    </w:p>
    <w:p w14:paraId="611CAA45" w14:textId="77777777" w:rsidR="00A030CB" w:rsidRDefault="00A030CB"/>
    <w:p w14:paraId="6097AB9B" w14:textId="733560BD" w:rsidR="00A030CB" w:rsidRDefault="00A030CB" w:rsidP="009814A4">
      <w:pPr>
        <w:jc w:val="both"/>
      </w:pPr>
      <w:r>
        <w:t>Σ</w:t>
      </w:r>
      <w:r w:rsidR="0040746E">
        <w:t xml:space="preserve">ύμφωνα με την </w:t>
      </w:r>
      <w:r>
        <w:t xml:space="preserve"> </w:t>
      </w:r>
      <w:r w:rsidRPr="00A030CB">
        <w:t>Έκθεση Αξιολόγησης</w:t>
      </w:r>
      <w:r>
        <w:t xml:space="preserve"> (2024)</w:t>
      </w:r>
      <w:r w:rsidRPr="00A030CB">
        <w:t xml:space="preserve"> της Ευρωπαϊκή</w:t>
      </w:r>
      <w:r>
        <w:t>ς</w:t>
      </w:r>
      <w:r w:rsidRPr="00A030CB">
        <w:t xml:space="preserve"> Επιτροπή</w:t>
      </w:r>
      <w:r>
        <w:t>ς</w:t>
      </w:r>
      <w:r w:rsidRPr="00A030CB">
        <w:t xml:space="preserve"> για την Αποδοτικότητα της Δικαιοσύνης (CEPEJ) για τα Δικαστικά Συστήματα</w:t>
      </w:r>
      <w:r>
        <w:t xml:space="preserve"> </w:t>
      </w:r>
      <w:r w:rsidR="009814A4">
        <w:t xml:space="preserve">των χωρών του Συμβουλίου της Ευρώπης, </w:t>
      </w:r>
      <w:r>
        <w:t xml:space="preserve">δημοσιεύουμε σε συνέχειες κρίσιμα στοιχεία και πίνακες για τη λειτουργία της δικαιοσύνης στη χώρα μας σε σχέση με τα ευρωπαϊκά δεδομένα. </w:t>
      </w:r>
      <w:r w:rsidRPr="00A030CB">
        <w:t xml:space="preserve"> </w:t>
      </w:r>
      <w:r>
        <w:t xml:space="preserve">Επισημαίνεται ότι η Έκθεση έχει συνταχθεί </w:t>
      </w:r>
      <w:r w:rsidRPr="00A030CB">
        <w:t>με βάση στοιχεία του έτους 2022</w:t>
      </w:r>
      <w:r>
        <w:t>, ενώ σε</w:t>
      </w:r>
      <w:r w:rsidR="0040746E">
        <w:t xml:space="preserve"> αρκετές</w:t>
      </w:r>
      <w:r>
        <w:t xml:space="preserve"> περιπτώσεις </w:t>
      </w:r>
      <w:r w:rsidR="009814A4">
        <w:t>η χώρα μας δεν έχει διαθέσει τα σχετικά αριθμητικά δεδομένα</w:t>
      </w:r>
      <w:r w:rsidR="00F47914">
        <w:t xml:space="preserve"> στην Ευρωπαϊκή Ένωση</w:t>
      </w:r>
      <w:r w:rsidRPr="00A030CB">
        <w:t>.</w:t>
      </w:r>
      <w:r w:rsidR="00F47914">
        <w:t xml:space="preserve"> Αναδεικνύεται</w:t>
      </w:r>
      <w:r w:rsidR="0040746E">
        <w:t xml:space="preserve"> έτσι</w:t>
      </w:r>
      <w:r w:rsidR="00F47914">
        <w:t xml:space="preserve"> ανάγλυφα η παντελής έλλειψη στατιστικών στοιχείων από τις αρμόδιες Υπηρεσίες του Υπουργείου Δικαιοσύνης</w:t>
      </w:r>
      <w:r w:rsidR="001141B8">
        <w:t>,</w:t>
      </w:r>
      <w:r w:rsidR="00F47914">
        <w:t xml:space="preserve"> </w:t>
      </w:r>
      <w:r w:rsidR="0040746E">
        <w:t>γεγονός που</w:t>
      </w:r>
      <w:r w:rsidR="00F47914">
        <w:t xml:space="preserve"> εκθέτει ανεπανόρθωτα τη χώρα στους ευρωπαϊκούς θεσμούς.</w:t>
      </w:r>
    </w:p>
    <w:p w14:paraId="5420F96C" w14:textId="77777777" w:rsidR="009814A4" w:rsidRDefault="009814A4" w:rsidP="009814A4">
      <w:pPr>
        <w:jc w:val="both"/>
      </w:pPr>
    </w:p>
    <w:p w14:paraId="72BB58C7" w14:textId="327CF21E" w:rsidR="009814A4" w:rsidRDefault="009814A4" w:rsidP="009814A4">
      <w:pPr>
        <w:jc w:val="both"/>
      </w:pPr>
      <w:r>
        <w:t>Στο παρόν 1</w:t>
      </w:r>
      <w:r w:rsidRPr="009814A4">
        <w:rPr>
          <w:vertAlign w:val="superscript"/>
        </w:rPr>
        <w:t>ο</w:t>
      </w:r>
      <w:r>
        <w:t xml:space="preserve"> μέρος παρουσιάζονται τα στοιχεία που αφορούν την ταχύτητα </w:t>
      </w:r>
      <w:r w:rsidR="007D729B">
        <w:t xml:space="preserve">και το ρυθμό </w:t>
      </w:r>
      <w:r>
        <w:t xml:space="preserve">απονομής της Δικαιοσύνης στη χώρα. </w:t>
      </w:r>
    </w:p>
    <w:p w14:paraId="1A9038D4" w14:textId="77777777" w:rsidR="009814A4" w:rsidRDefault="009814A4" w:rsidP="009814A4">
      <w:pPr>
        <w:jc w:val="both"/>
      </w:pPr>
    </w:p>
    <w:p w14:paraId="32C177D6" w14:textId="16511422" w:rsidR="009814A4" w:rsidRPr="006E7B3E" w:rsidRDefault="009814A4" w:rsidP="009814A4">
      <w:pPr>
        <w:pStyle w:val="a6"/>
        <w:numPr>
          <w:ilvl w:val="0"/>
          <w:numId w:val="1"/>
        </w:numPr>
        <w:rPr>
          <w:b/>
          <w:bCs/>
        </w:rPr>
      </w:pPr>
      <w:r w:rsidRPr="009814A4">
        <w:rPr>
          <w:b/>
          <w:bCs/>
        </w:rPr>
        <w:t>Αποτελεσματικότητα - Χρόνος Διεκπεραίωσης (σε ημέρες)</w:t>
      </w:r>
    </w:p>
    <w:p w14:paraId="5B06229F" w14:textId="77777777" w:rsidR="006E7B3E" w:rsidRPr="00F47914" w:rsidRDefault="006E7B3E" w:rsidP="006E7B3E"/>
    <w:p w14:paraId="45065C0F" w14:textId="77777777" w:rsidR="009814A4" w:rsidRPr="00E82BA0" w:rsidRDefault="009814A4" w:rsidP="009814A4">
      <w:pPr>
        <w:rPr>
          <w:i/>
          <w:iCs/>
        </w:rPr>
      </w:pPr>
      <w:r w:rsidRPr="00E82BA0">
        <w:rPr>
          <w:i/>
          <w:iCs/>
        </w:rPr>
        <w:t>Αστικές υποθέσεις:</w:t>
      </w:r>
    </w:p>
    <w:p w14:paraId="20069241" w14:textId="77777777" w:rsidR="009814A4" w:rsidRPr="00E82BA0" w:rsidRDefault="009814A4" w:rsidP="009814A4">
      <w:r w:rsidRPr="00E82BA0">
        <w:t>1ος βαθμός: 746 (Διάμεση τιμή Συμβουλίου της Ευρώπης: 239)</w:t>
      </w:r>
    </w:p>
    <w:p w14:paraId="3725832F" w14:textId="77777777" w:rsidR="009814A4" w:rsidRPr="00E82BA0" w:rsidRDefault="009814A4" w:rsidP="009814A4">
      <w:r w:rsidRPr="00E82BA0">
        <w:t>2ος βαθμός: 422 (Διάμεση τιμή Συμβουλίου της Ευρώπης: 200)</w:t>
      </w:r>
    </w:p>
    <w:p w14:paraId="35266510" w14:textId="56F34E17" w:rsidR="009814A4" w:rsidRPr="00E82BA0" w:rsidRDefault="009814A4" w:rsidP="009814A4">
      <w:r w:rsidRPr="00E82BA0">
        <w:t>Ανώτατο Δικαστήριο: Μη διαθέσιμο</w:t>
      </w:r>
      <w:r w:rsidR="00414B09">
        <w:t xml:space="preserve"> (!!)</w:t>
      </w:r>
      <w:r w:rsidRPr="00E82BA0">
        <w:t xml:space="preserve"> (Διάμεση τιμή Συμβουλίου της Ευρώπης: 152)</w:t>
      </w:r>
    </w:p>
    <w:p w14:paraId="1CFFD920" w14:textId="77777777" w:rsidR="009814A4" w:rsidRPr="00E82BA0" w:rsidRDefault="009814A4" w:rsidP="009814A4"/>
    <w:p w14:paraId="1E3970F3" w14:textId="77777777" w:rsidR="009814A4" w:rsidRPr="00E82BA0" w:rsidRDefault="009814A4" w:rsidP="009814A4">
      <w:pPr>
        <w:rPr>
          <w:i/>
          <w:iCs/>
        </w:rPr>
      </w:pPr>
      <w:r w:rsidRPr="00E82BA0">
        <w:rPr>
          <w:i/>
          <w:iCs/>
        </w:rPr>
        <w:t>Ποινικές υποθέσεις:</w:t>
      </w:r>
    </w:p>
    <w:p w14:paraId="1CAEE954" w14:textId="77777777" w:rsidR="009814A4" w:rsidRPr="00E82BA0" w:rsidRDefault="009814A4" w:rsidP="009814A4">
      <w:r w:rsidRPr="00E82BA0">
        <w:t>1ος βαθμός: 223 (Διάμεση τιμή Συμβουλίου της Ευρώπης: 133)</w:t>
      </w:r>
    </w:p>
    <w:p w14:paraId="7D3A0731" w14:textId="77777777" w:rsidR="009814A4" w:rsidRPr="00E82BA0" w:rsidRDefault="009814A4" w:rsidP="009814A4">
      <w:r w:rsidRPr="00E82BA0">
        <w:t>2ος βαθμός: 294 (Διάμεση τιμή Συμβουλίου της Ευρώπης: 110)</w:t>
      </w:r>
    </w:p>
    <w:p w14:paraId="3632CE2D" w14:textId="77777777" w:rsidR="009814A4" w:rsidRPr="00E82BA0" w:rsidRDefault="009814A4" w:rsidP="009814A4">
      <w:r w:rsidRPr="00E82BA0">
        <w:t>Ανώτατο Δικαστήριο: 304 (Διάμεση τιμή Συμβουλίου της Ευρώπης: 101)</w:t>
      </w:r>
    </w:p>
    <w:p w14:paraId="561C5310" w14:textId="77777777" w:rsidR="009814A4" w:rsidRPr="00E82BA0" w:rsidRDefault="009814A4" w:rsidP="009814A4"/>
    <w:p w14:paraId="17AB67EE" w14:textId="77777777" w:rsidR="009814A4" w:rsidRPr="00E82BA0" w:rsidRDefault="009814A4" w:rsidP="009814A4">
      <w:pPr>
        <w:rPr>
          <w:i/>
          <w:iCs/>
        </w:rPr>
      </w:pPr>
      <w:r w:rsidRPr="00E82BA0">
        <w:rPr>
          <w:i/>
          <w:iCs/>
        </w:rPr>
        <w:t>Διοικητικές υποθέσεις:</w:t>
      </w:r>
    </w:p>
    <w:p w14:paraId="25BEC425" w14:textId="77777777" w:rsidR="009814A4" w:rsidRPr="00E82BA0" w:rsidRDefault="009814A4" w:rsidP="009814A4">
      <w:r w:rsidRPr="00E82BA0">
        <w:t>1ος βαθμός: 464 (Διάμεση τιμή Συμβουλίου της Ευρώπης: 292)</w:t>
      </w:r>
    </w:p>
    <w:p w14:paraId="22777923" w14:textId="77777777" w:rsidR="009814A4" w:rsidRPr="00E82BA0" w:rsidRDefault="009814A4" w:rsidP="009814A4">
      <w:r w:rsidRPr="00E82BA0">
        <w:t>2ος βαθμός: 661 (Διάμεση τιμή Συμβουλίου της Ευρώπης: 215)</w:t>
      </w:r>
    </w:p>
    <w:p w14:paraId="5C6F084F" w14:textId="77777777" w:rsidR="009814A4" w:rsidRPr="00F47914" w:rsidRDefault="009814A4" w:rsidP="009814A4">
      <w:r w:rsidRPr="00E82BA0">
        <w:t>Ανώτατο Δικαστήριο: 1239 (Διάμεση τιμή Συμβουλίου της Ευρώπης: 234)</w:t>
      </w:r>
    </w:p>
    <w:p w14:paraId="2AD381AB" w14:textId="77777777" w:rsidR="006E7B3E" w:rsidRPr="00F47914" w:rsidRDefault="006E7B3E" w:rsidP="009814A4"/>
    <w:p w14:paraId="04A10256" w14:textId="77777777" w:rsidR="006E7B3E" w:rsidRPr="00E82BA0" w:rsidRDefault="006E7B3E" w:rsidP="006E7B3E">
      <w:pPr>
        <w:pStyle w:val="a6"/>
        <w:numPr>
          <w:ilvl w:val="0"/>
          <w:numId w:val="3"/>
        </w:numPr>
        <w:jc w:val="both"/>
      </w:pPr>
      <w:r w:rsidRPr="00414B09">
        <w:rPr>
          <w:u w:val="single"/>
        </w:rPr>
        <w:t>Χρόνος Διεκπεραίωσης</w:t>
      </w:r>
      <w:r w:rsidRPr="00E82BA0">
        <w:t xml:space="preserve"> (D</w:t>
      </w:r>
      <w:proofErr w:type="spellStart"/>
      <w:r>
        <w:rPr>
          <w:lang w:val="en-US"/>
        </w:rPr>
        <w:t>isposition</w:t>
      </w:r>
      <w:proofErr w:type="spellEnd"/>
      <w:r w:rsidRPr="006E7B3E">
        <w:t xml:space="preserve"> </w:t>
      </w:r>
      <w:r w:rsidRPr="00E82BA0">
        <w:t>T</w:t>
      </w:r>
      <w:proofErr w:type="spellStart"/>
      <w:r>
        <w:rPr>
          <w:lang w:val="en-US"/>
        </w:rPr>
        <w:t>ime</w:t>
      </w:r>
      <w:proofErr w:type="spellEnd"/>
      <w:r w:rsidRPr="00E82BA0">
        <w:t xml:space="preserve">) = (Εκκρεμείς υποθέσεις / Διεκπεραιωθείσες υποθέσεις) </w:t>
      </w:r>
      <w:r>
        <w:rPr>
          <w:lang w:val="en-US"/>
        </w:rPr>
        <w:t>X</w:t>
      </w:r>
      <w:r w:rsidRPr="00E82BA0">
        <w:t xml:space="preserve"> 365</w:t>
      </w:r>
    </w:p>
    <w:p w14:paraId="2FE34EFF" w14:textId="77777777" w:rsidR="006E7B3E" w:rsidRPr="00E82BA0" w:rsidRDefault="006E7B3E" w:rsidP="006E7B3E">
      <w:pPr>
        <w:pStyle w:val="a6"/>
        <w:numPr>
          <w:ilvl w:val="0"/>
          <w:numId w:val="3"/>
        </w:numPr>
        <w:jc w:val="both"/>
      </w:pPr>
      <w:r w:rsidRPr="00E82BA0">
        <w:t>Ο Χρόνος Διεκπεραίωσης είναι ο χρόνος που απαιτείται θεωρητικά για την διεκπεραίωση μιας εκκρεμούς υπόθεσης, λαμβάνοντας υπόψη τον τρέχοντα ρυθμό εργασίας των δικαστηρίων</w:t>
      </w:r>
    </w:p>
    <w:p w14:paraId="329476DE" w14:textId="77777777" w:rsidR="006E7B3E" w:rsidRPr="006E7B3E" w:rsidRDefault="006E7B3E" w:rsidP="009814A4"/>
    <w:p w14:paraId="76AD7E03" w14:textId="648A0D0C" w:rsidR="009814A4" w:rsidRPr="009814A4" w:rsidRDefault="009814A4" w:rsidP="009814A4">
      <w:pPr>
        <w:pStyle w:val="a6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Ιστορικά – συγκριτικά στοιχεία: </w:t>
      </w:r>
      <w:r w:rsidRPr="009814A4">
        <w:rPr>
          <w:b/>
          <w:bCs/>
        </w:rPr>
        <w:t>Εξέλιξη του Χρόνου Διεκπεραίωσης (σε ημέρες)</w:t>
      </w:r>
    </w:p>
    <w:p w14:paraId="68B34A57" w14:textId="77777777" w:rsidR="006230E8" w:rsidRDefault="006230E8" w:rsidP="007D729B"/>
    <w:p w14:paraId="3364652C" w14:textId="702C25CE" w:rsidR="007D729B" w:rsidRPr="00E82BA0" w:rsidRDefault="007D729B" w:rsidP="007D729B">
      <w:r w:rsidRPr="00E82BA0">
        <w:t xml:space="preserve">Παρατίθενται αναλυτικά στοιχεία για </w:t>
      </w:r>
      <w:r>
        <w:t>το διάστημα 2012 - 2022</w:t>
      </w:r>
      <w:r w:rsidRPr="00E82BA0">
        <w:t xml:space="preserve"> </w:t>
      </w:r>
      <w:r>
        <w:t>ανά</w:t>
      </w:r>
      <w:r w:rsidRPr="00E82BA0">
        <w:t xml:space="preserve"> </w:t>
      </w:r>
      <w:r>
        <w:t>κατηγορία υποθέσεων:</w:t>
      </w:r>
    </w:p>
    <w:p w14:paraId="32F1D383" w14:textId="77777777" w:rsidR="009814A4" w:rsidRPr="00E82BA0" w:rsidRDefault="009814A4" w:rsidP="009814A4">
      <w:pPr>
        <w:rPr>
          <w:i/>
          <w:iCs/>
        </w:rPr>
      </w:pPr>
      <w:r w:rsidRPr="00E82BA0">
        <w:rPr>
          <w:i/>
          <w:iCs/>
        </w:rPr>
        <w:t xml:space="preserve">Αστικές υποθέσεις: </w:t>
      </w:r>
    </w:p>
    <w:p w14:paraId="6255EFA6" w14:textId="77777777" w:rsidR="009814A4" w:rsidRDefault="009814A4" w:rsidP="009814A4"/>
    <w:p w14:paraId="024C24D5" w14:textId="6DF16FAB" w:rsidR="009814A4" w:rsidRPr="00E82BA0" w:rsidRDefault="009814A4" w:rsidP="009814A4">
      <w:r w:rsidRPr="00E82BA0">
        <w:t>1ος βαθμός: 2022: 746 | 2020: Μη διαθέσιμο  | 2018: 559 | 2016: 610 | 2014: 330 | 2012: 469</w:t>
      </w:r>
    </w:p>
    <w:p w14:paraId="2725BDDC" w14:textId="77777777" w:rsidR="009814A4" w:rsidRDefault="009814A4" w:rsidP="009814A4"/>
    <w:p w14:paraId="3E2DA37F" w14:textId="3CABD561" w:rsidR="009814A4" w:rsidRPr="00E82BA0" w:rsidRDefault="009814A4" w:rsidP="009814A4">
      <w:r w:rsidRPr="00E82BA0">
        <w:lastRenderedPageBreak/>
        <w:t xml:space="preserve">2ος βαθμός: 2022: 422 | 2020: </w:t>
      </w:r>
      <w:bookmarkStart w:id="1" w:name="_Hlk180043325"/>
      <w:r w:rsidRPr="00E82BA0">
        <w:t xml:space="preserve">Μη διαθέσιμο </w:t>
      </w:r>
      <w:bookmarkEnd w:id="1"/>
      <w:r w:rsidRPr="00E82BA0">
        <w:t>| 2018: 662 | 2016: 1149 | 2014:509| 2012: 834</w:t>
      </w:r>
    </w:p>
    <w:p w14:paraId="0E6D5B25" w14:textId="77777777" w:rsidR="009814A4" w:rsidRDefault="009814A4" w:rsidP="009814A4"/>
    <w:p w14:paraId="77E607BE" w14:textId="15D7AF50" w:rsidR="009814A4" w:rsidRPr="00E82BA0" w:rsidRDefault="009814A4" w:rsidP="009814A4">
      <w:r w:rsidRPr="00E82BA0">
        <w:t>Ανώτατος βαθμός: 2022: Μη διαθέσιμο | 2020: Μη διαθέσιμο | 2018: 331 | 2016: Μη διαθέσιμο | 2014: Μη διαθέσιμο | 2012: 346</w:t>
      </w:r>
    </w:p>
    <w:p w14:paraId="4EC3F53D" w14:textId="77777777" w:rsidR="009814A4" w:rsidRPr="00E82BA0" w:rsidRDefault="009814A4" w:rsidP="009814A4"/>
    <w:p w14:paraId="4EA410AF" w14:textId="77777777" w:rsidR="009814A4" w:rsidRPr="00E82BA0" w:rsidRDefault="009814A4" w:rsidP="009814A4">
      <w:r w:rsidRPr="00E82BA0">
        <w:t>Ποινικές υποθέσεις:</w:t>
      </w:r>
    </w:p>
    <w:p w14:paraId="1B15C1C9" w14:textId="77777777" w:rsidR="009814A4" w:rsidRDefault="009814A4" w:rsidP="009814A4"/>
    <w:p w14:paraId="0720D628" w14:textId="144E4E12" w:rsidR="009814A4" w:rsidRPr="00E82BA0" w:rsidRDefault="009814A4" w:rsidP="009814A4">
      <w:r w:rsidRPr="00E82BA0">
        <w:t xml:space="preserve">1ος βαθμός: 2022: 223 | 2020: </w:t>
      </w:r>
      <w:bookmarkStart w:id="2" w:name="_Hlk180043596"/>
      <w:r w:rsidRPr="00E82BA0">
        <w:t xml:space="preserve">Μη διαθέσιμο </w:t>
      </w:r>
      <w:bookmarkEnd w:id="2"/>
      <w:r w:rsidRPr="00E82BA0">
        <w:t xml:space="preserve">| 2018: Μη διαθέσιμο | 2016: Μη διαθέσιμο | 2014: Μη διαθέσιμο | 2012: Μη διαθέσιμο </w:t>
      </w:r>
    </w:p>
    <w:p w14:paraId="2BDDF999" w14:textId="77777777" w:rsidR="009814A4" w:rsidRDefault="009814A4" w:rsidP="009814A4"/>
    <w:p w14:paraId="11C46213" w14:textId="2CB80D2B" w:rsidR="009814A4" w:rsidRPr="00E82BA0" w:rsidRDefault="009814A4" w:rsidP="009814A4">
      <w:r w:rsidRPr="00E82BA0">
        <w:t xml:space="preserve">2ος βαθμός: 2022: 294 | 2020: Μη διαθέσιμο | 2018: Μη διαθέσιμο | 2016: Μη διαθέσιμο | 2014: Μη διαθέσιμο | 2012: Μη διαθέσιμο </w:t>
      </w:r>
    </w:p>
    <w:p w14:paraId="5C993160" w14:textId="77777777" w:rsidR="009814A4" w:rsidRDefault="009814A4" w:rsidP="009814A4"/>
    <w:p w14:paraId="35F32674" w14:textId="7DBD274A" w:rsidR="009814A4" w:rsidRDefault="009814A4" w:rsidP="009814A4">
      <w:r w:rsidRPr="00E82BA0">
        <w:t xml:space="preserve">Ανώτατος βαθμός: 2022: 304 | 2020: Μη διαθέσιμο | 2018: 6 | 2016: 121 | 2014: 16 | 2012: 24 </w:t>
      </w:r>
    </w:p>
    <w:p w14:paraId="406323A2" w14:textId="77777777" w:rsidR="006E7B3E" w:rsidRDefault="006E7B3E" w:rsidP="009814A4"/>
    <w:p w14:paraId="56D7CA0C" w14:textId="4F8D325E" w:rsidR="006E7B3E" w:rsidRPr="00E82BA0" w:rsidRDefault="006E7B3E" w:rsidP="009814A4">
      <w:r>
        <w:t>[</w:t>
      </w:r>
      <w:r w:rsidRPr="006E7B3E">
        <w:rPr>
          <w:i/>
          <w:iCs/>
        </w:rPr>
        <w:t xml:space="preserve">σ.σ. είναι προφανές ότι τα </w:t>
      </w:r>
      <w:r>
        <w:rPr>
          <w:i/>
          <w:iCs/>
        </w:rPr>
        <w:t xml:space="preserve">ανωτέρω </w:t>
      </w:r>
      <w:r w:rsidRPr="006E7B3E">
        <w:rPr>
          <w:i/>
          <w:iCs/>
        </w:rPr>
        <w:t>στοιχεία των ετών 2018, 2014, 2012 χρήζουν επαλήθευσης</w:t>
      </w:r>
      <w:r>
        <w:t>]</w:t>
      </w:r>
    </w:p>
    <w:p w14:paraId="4C1708C8" w14:textId="77777777" w:rsidR="009814A4" w:rsidRPr="00E82BA0" w:rsidRDefault="009814A4" w:rsidP="009814A4"/>
    <w:p w14:paraId="2AB8B5ED" w14:textId="77777777" w:rsidR="009814A4" w:rsidRPr="00E82BA0" w:rsidRDefault="009814A4" w:rsidP="009814A4">
      <w:r w:rsidRPr="00E82BA0">
        <w:t xml:space="preserve">Διοικητικές υποθέσεις: </w:t>
      </w:r>
    </w:p>
    <w:p w14:paraId="58D0052E" w14:textId="77777777" w:rsidR="006E7B3E" w:rsidRDefault="006E7B3E" w:rsidP="009814A4"/>
    <w:p w14:paraId="0B2813B3" w14:textId="3A5B3A15" w:rsidR="009814A4" w:rsidRPr="00E82BA0" w:rsidRDefault="009814A4" w:rsidP="009814A4">
      <w:r w:rsidRPr="00E82BA0">
        <w:t>1ος βαθμός: 2022: 464 | 2020: 551 | 2018: 601 | 2016: 1086 | 2014: Μη διαθέσιμο | 2012: 1520</w:t>
      </w:r>
    </w:p>
    <w:p w14:paraId="69840606" w14:textId="77777777" w:rsidR="006E7B3E" w:rsidRDefault="006E7B3E" w:rsidP="009814A4"/>
    <w:p w14:paraId="1B888243" w14:textId="3F638F7A" w:rsidR="009814A4" w:rsidRPr="00E82BA0" w:rsidRDefault="009814A4" w:rsidP="009814A4">
      <w:r w:rsidRPr="00E82BA0">
        <w:t xml:space="preserve"> 2ος βαθμός: 2022: 661 | 2020: 599 | 2018: 564 | 2016: 915 | 2014: Μη διαθέσιμο | 2012: 1130 </w:t>
      </w:r>
    </w:p>
    <w:p w14:paraId="452FE127" w14:textId="77777777" w:rsidR="006E7B3E" w:rsidRDefault="006E7B3E" w:rsidP="009814A4"/>
    <w:p w14:paraId="5EF9FBB6" w14:textId="08E7F1B2" w:rsidR="009814A4" w:rsidRPr="00E82BA0" w:rsidRDefault="009814A4" w:rsidP="009814A4">
      <w:r w:rsidRPr="00E82BA0">
        <w:t>Ανώτατος βαθμός: 2022: 1239 | 2020: 1107 | 2018: 1265 | 2016: 893 | 2014: Μη διαθέσιμο | 2012: Μη διαθέσιμο</w:t>
      </w:r>
    </w:p>
    <w:p w14:paraId="09D39715" w14:textId="77777777" w:rsidR="009814A4" w:rsidRDefault="009814A4" w:rsidP="009814A4">
      <w:pPr>
        <w:jc w:val="both"/>
      </w:pPr>
    </w:p>
    <w:p w14:paraId="22DD2AC7" w14:textId="0FCB3700" w:rsidR="006E7B3E" w:rsidRPr="006E7B3E" w:rsidRDefault="006E7B3E" w:rsidP="006E7B3E">
      <w:pPr>
        <w:pStyle w:val="a6"/>
        <w:numPr>
          <w:ilvl w:val="0"/>
          <w:numId w:val="1"/>
        </w:numPr>
        <w:rPr>
          <w:b/>
          <w:bCs/>
        </w:rPr>
      </w:pPr>
      <w:r w:rsidRPr="006E7B3E">
        <w:rPr>
          <w:b/>
          <w:bCs/>
        </w:rPr>
        <w:t>Ρυθμός Εκκαθάρισης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clearance rate)</w:t>
      </w:r>
      <w:r w:rsidRPr="006E7B3E">
        <w:rPr>
          <w:b/>
          <w:bCs/>
        </w:rPr>
        <w:t>:</w:t>
      </w:r>
    </w:p>
    <w:p w14:paraId="0BA03F62" w14:textId="77777777" w:rsidR="006E7B3E" w:rsidRDefault="006E7B3E" w:rsidP="006E7B3E">
      <w:pPr>
        <w:rPr>
          <w:b/>
          <w:bCs/>
          <w:lang w:val="en-US"/>
        </w:rPr>
      </w:pPr>
    </w:p>
    <w:p w14:paraId="26B2769C" w14:textId="77777777" w:rsidR="006E7B3E" w:rsidRPr="00E82BA0" w:rsidRDefault="006E7B3E" w:rsidP="006E7B3E">
      <w:pPr>
        <w:pStyle w:val="a6"/>
        <w:numPr>
          <w:ilvl w:val="0"/>
          <w:numId w:val="2"/>
        </w:numPr>
        <w:jc w:val="both"/>
      </w:pPr>
      <w:r w:rsidRPr="00E82BA0">
        <w:t>Ρυθμός Εκκαθάρισης (CR) = (Διεκπεραιωθείσες υποθέσεις / Εισερχόμενες υποθέσεις) * 100</w:t>
      </w:r>
    </w:p>
    <w:p w14:paraId="277D12BE" w14:textId="77777777" w:rsidR="006E7B3E" w:rsidRPr="00E82BA0" w:rsidRDefault="006E7B3E" w:rsidP="006E7B3E">
      <w:pPr>
        <w:pStyle w:val="a6"/>
        <w:numPr>
          <w:ilvl w:val="0"/>
          <w:numId w:val="2"/>
        </w:numPr>
        <w:jc w:val="both"/>
      </w:pPr>
      <w:r w:rsidRPr="00E82BA0">
        <w:t>CR &gt; 100%: το δικαστήριο/δικαστικό σύστημα μπορεί να διεκπεραιώσει  περισσότερες υποθέσεις από όσες εισέρευσαν =&gt; ο όγκος συσσωρευμένων υποθέσεων μειώνεται</w:t>
      </w:r>
    </w:p>
    <w:p w14:paraId="0444D539" w14:textId="77777777" w:rsidR="006E7B3E" w:rsidRPr="00E82BA0" w:rsidRDefault="006E7B3E" w:rsidP="006E7B3E">
      <w:pPr>
        <w:pStyle w:val="a6"/>
        <w:numPr>
          <w:ilvl w:val="0"/>
          <w:numId w:val="2"/>
        </w:numPr>
        <w:jc w:val="both"/>
      </w:pPr>
      <w:r w:rsidRPr="00E82BA0">
        <w:t>CR &lt; 100%: το δικαστήριο/δικαστικό σύστημα μπορεί να διεκπεραιώσει  λιγότερες υποθέσεις από όσες εισέρευσαν =&gt; ο όγκος συσσωρευμένων υποθέσεων αυξάνεται</w:t>
      </w:r>
    </w:p>
    <w:p w14:paraId="19BED9FB" w14:textId="77777777" w:rsidR="006E7B3E" w:rsidRPr="00E82BA0" w:rsidRDefault="006E7B3E" w:rsidP="006E7B3E"/>
    <w:p w14:paraId="49BD22D0" w14:textId="77777777" w:rsidR="006E7B3E" w:rsidRPr="00E82BA0" w:rsidRDefault="006E7B3E" w:rsidP="006E7B3E">
      <w:pPr>
        <w:rPr>
          <w:i/>
          <w:iCs/>
        </w:rPr>
      </w:pPr>
      <w:r w:rsidRPr="00E82BA0">
        <w:rPr>
          <w:i/>
          <w:iCs/>
        </w:rPr>
        <w:t>Αστικές υποθέσεις:</w:t>
      </w:r>
    </w:p>
    <w:p w14:paraId="77ED5AFA" w14:textId="77777777" w:rsidR="006E7B3E" w:rsidRPr="00E82BA0" w:rsidRDefault="006E7B3E" w:rsidP="006E7B3E">
      <w:r w:rsidRPr="00E82BA0">
        <w:t>1ος βαθμός: 93% (Διάμεση τιμή Συμβουλίου της Ευρώπης: 99%)</w:t>
      </w:r>
    </w:p>
    <w:p w14:paraId="67C82BB8" w14:textId="77777777" w:rsidR="006E7B3E" w:rsidRPr="00E82BA0" w:rsidRDefault="006E7B3E" w:rsidP="006E7B3E">
      <w:r w:rsidRPr="00E82BA0">
        <w:t>2ος βαθμός: 79% (Διάμεση τιμή Συμβουλίου της Ευρώπης: 99%)</w:t>
      </w:r>
    </w:p>
    <w:p w14:paraId="05421846" w14:textId="77777777" w:rsidR="006E7B3E" w:rsidRPr="00E82BA0" w:rsidRDefault="006E7B3E" w:rsidP="006E7B3E">
      <w:r w:rsidRPr="00E82BA0">
        <w:t>Ανώτατο Δικαστήριο: Μη διαθέσιμο (Διάμεση τιμή Συμβουλίου της Ευρώπης: 105%)</w:t>
      </w:r>
    </w:p>
    <w:p w14:paraId="53A9F485" w14:textId="77777777" w:rsidR="006E7B3E" w:rsidRPr="00E82BA0" w:rsidRDefault="006E7B3E" w:rsidP="006E7B3E"/>
    <w:p w14:paraId="3A1669E9" w14:textId="77777777" w:rsidR="006E7B3E" w:rsidRPr="00E82BA0" w:rsidRDefault="006E7B3E" w:rsidP="006E7B3E">
      <w:pPr>
        <w:rPr>
          <w:i/>
          <w:iCs/>
        </w:rPr>
      </w:pPr>
      <w:r w:rsidRPr="00E82BA0">
        <w:rPr>
          <w:i/>
          <w:iCs/>
        </w:rPr>
        <w:t>Ποινικές υποθέσεις:</w:t>
      </w:r>
    </w:p>
    <w:p w14:paraId="08E9D016" w14:textId="77777777" w:rsidR="006E7B3E" w:rsidRPr="00E82BA0" w:rsidRDefault="006E7B3E" w:rsidP="006E7B3E">
      <w:r w:rsidRPr="00E82BA0">
        <w:t>1ος βαθμός: 70% (Διάμεση τιμή Συμβουλίου της Ευρώπης: 99%)</w:t>
      </w:r>
    </w:p>
    <w:p w14:paraId="0CE09790" w14:textId="77777777" w:rsidR="006E7B3E" w:rsidRPr="00E82BA0" w:rsidRDefault="006E7B3E" w:rsidP="006E7B3E">
      <w:r w:rsidRPr="00E82BA0">
        <w:t>2ος βαθμός: 64% (Διάμεση τιμή Συμβουλίου της Ευρώπης: 99%)</w:t>
      </w:r>
    </w:p>
    <w:p w14:paraId="1F23324D" w14:textId="77777777" w:rsidR="006E7B3E" w:rsidRPr="00E82BA0" w:rsidRDefault="006E7B3E" w:rsidP="006E7B3E">
      <w:r w:rsidRPr="00E82BA0">
        <w:t>Ανώτατο Δικαστήριο: 84% (Διάμεση τιμή Συμβουλίου της Ευρώπης: 100%)</w:t>
      </w:r>
    </w:p>
    <w:p w14:paraId="244D7649" w14:textId="77777777" w:rsidR="006E7B3E" w:rsidRPr="00E82BA0" w:rsidRDefault="006E7B3E" w:rsidP="006E7B3E"/>
    <w:p w14:paraId="4ABF9ED8" w14:textId="77777777" w:rsidR="006E7B3E" w:rsidRPr="00E82BA0" w:rsidRDefault="006E7B3E" w:rsidP="006E7B3E">
      <w:pPr>
        <w:rPr>
          <w:i/>
          <w:iCs/>
        </w:rPr>
      </w:pPr>
      <w:r w:rsidRPr="00E82BA0">
        <w:rPr>
          <w:i/>
          <w:iCs/>
        </w:rPr>
        <w:lastRenderedPageBreak/>
        <w:t>Διοικητικές υποθέσεις:</w:t>
      </w:r>
    </w:p>
    <w:p w14:paraId="343D9385" w14:textId="77777777" w:rsidR="006E7B3E" w:rsidRPr="00E82BA0" w:rsidRDefault="006E7B3E" w:rsidP="006E7B3E">
      <w:r w:rsidRPr="00E82BA0">
        <w:t>1ος βαθμός: 127% (Διάμεση τιμή Συμβουλίου της Ευρώπης: 98%)</w:t>
      </w:r>
    </w:p>
    <w:p w14:paraId="395120FF" w14:textId="77777777" w:rsidR="006E7B3E" w:rsidRPr="00E82BA0" w:rsidRDefault="006E7B3E" w:rsidP="006E7B3E">
      <w:r w:rsidRPr="00E82BA0">
        <w:t>2ος βαθμός: 107% (Διάμεση τιμή Συμβουλίου της Ευρώπης: 103%)</w:t>
      </w:r>
    </w:p>
    <w:p w14:paraId="786B9BA4" w14:textId="77777777" w:rsidR="006E7B3E" w:rsidRDefault="006E7B3E" w:rsidP="006E7B3E">
      <w:r w:rsidRPr="00E82BA0">
        <w:t>Ανώτατο Δικαστήριο: 115% (Διάμεση τιμή Συμβουλίου της Ευρώπης: 102%)</w:t>
      </w:r>
    </w:p>
    <w:p w14:paraId="016B6BD7" w14:textId="77777777" w:rsidR="007D729B" w:rsidRDefault="007D729B" w:rsidP="006E7B3E"/>
    <w:p w14:paraId="60518744" w14:textId="77777777" w:rsidR="007D729B" w:rsidRPr="007D729B" w:rsidRDefault="007D729B" w:rsidP="007D729B">
      <w:pPr>
        <w:pStyle w:val="a6"/>
        <w:numPr>
          <w:ilvl w:val="0"/>
          <w:numId w:val="1"/>
        </w:numPr>
        <w:rPr>
          <w:b/>
          <w:bCs/>
        </w:rPr>
      </w:pPr>
      <w:r w:rsidRPr="007D729B">
        <w:rPr>
          <w:b/>
          <w:bCs/>
        </w:rPr>
        <w:t xml:space="preserve">Πίνακες: </w:t>
      </w:r>
    </w:p>
    <w:p w14:paraId="0DEFF126" w14:textId="77777777" w:rsidR="007D729B" w:rsidRDefault="007D729B" w:rsidP="007D729B">
      <w:pPr>
        <w:rPr>
          <w:b/>
          <w:bCs/>
          <w:lang w:val="en-US"/>
        </w:rPr>
      </w:pPr>
    </w:p>
    <w:p w14:paraId="64A9D370" w14:textId="7B9F241E" w:rsidR="007D729B" w:rsidRPr="007D729B" w:rsidRDefault="007D729B" w:rsidP="007D729B">
      <w:r w:rsidRPr="007D729B">
        <w:t xml:space="preserve">Ακολουθούν οι σχετικοί Πίνακες από την Έκθεση του </w:t>
      </w:r>
      <w:r w:rsidRPr="007D729B">
        <w:rPr>
          <w:lang w:val="en-US"/>
        </w:rPr>
        <w:t>CEPEJ</w:t>
      </w:r>
      <w:r w:rsidRPr="007D729B">
        <w:t xml:space="preserve">: </w:t>
      </w:r>
      <w:r w:rsidR="00A10715">
        <w:t>(η πορτοκαλί γραμμή αντιστοιχεί στο μέσο όρο της Ε.Ε.)</w:t>
      </w:r>
    </w:p>
    <w:p w14:paraId="07695309" w14:textId="77777777" w:rsidR="006E7B3E" w:rsidRDefault="006E7B3E" w:rsidP="006E7B3E"/>
    <w:p w14:paraId="5302C3BD" w14:textId="14F7AE74" w:rsidR="006E7B3E" w:rsidRDefault="007D729B" w:rsidP="006E7B3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CEC4A1D" wp14:editId="730563F2">
            <wp:extent cx="3355366" cy="2239200"/>
            <wp:effectExtent l="0" t="0" r="0" b="0"/>
            <wp:docPr id="12589028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0287" name="Εικόνα 1258902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25" cy="226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5648D" w14:textId="77777777" w:rsidR="007D729B" w:rsidRDefault="007D729B" w:rsidP="006E7B3E">
      <w:pPr>
        <w:rPr>
          <w:lang w:val="en-US"/>
        </w:rPr>
      </w:pPr>
    </w:p>
    <w:p w14:paraId="553B26CB" w14:textId="77777777" w:rsidR="007D729B" w:rsidRDefault="007D729B" w:rsidP="006E7B3E">
      <w:pPr>
        <w:rPr>
          <w:lang w:val="en-US"/>
        </w:rPr>
      </w:pPr>
    </w:p>
    <w:p w14:paraId="55EBBAEC" w14:textId="103BC8A1" w:rsidR="007D729B" w:rsidRDefault="007D729B" w:rsidP="006E7B3E">
      <w:r>
        <w:rPr>
          <w:noProof/>
          <w:lang w:eastAsia="el-GR"/>
        </w:rPr>
        <w:drawing>
          <wp:inline distT="0" distB="0" distL="0" distR="0" wp14:anchorId="608C8B53" wp14:editId="7E613A45">
            <wp:extent cx="5274310" cy="2051685"/>
            <wp:effectExtent l="0" t="0" r="0" b="5715"/>
            <wp:docPr id="1137359011" name="Εικόνα 2" descr="Εικόνα που περιέχει στιγμιότυπο οθόνης, κείμενο, λογισμ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59011" name="Εικόνα 2" descr="Εικόνα που περιέχει στιγμιότυπο οθόνης, κείμενο, λογισμικό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9F43" w14:textId="77777777" w:rsidR="00EA0B90" w:rsidRDefault="00EA0B90" w:rsidP="006E7B3E"/>
    <w:p w14:paraId="2FE30886" w14:textId="77777777" w:rsidR="00EA0B90" w:rsidRDefault="00EA0B90" w:rsidP="006E7B3E">
      <w:pPr>
        <w:rPr>
          <w:b/>
          <w:bCs/>
        </w:rPr>
      </w:pPr>
    </w:p>
    <w:p w14:paraId="3F4C0514" w14:textId="684B6809" w:rsidR="00EA0B90" w:rsidRPr="00EA0B90" w:rsidRDefault="00EA0B90" w:rsidP="006E7B3E">
      <w:pPr>
        <w:rPr>
          <w:b/>
          <w:bCs/>
        </w:rPr>
      </w:pPr>
      <w:r w:rsidRPr="00EA0B90">
        <w:rPr>
          <w:b/>
          <w:bCs/>
        </w:rPr>
        <w:t>Δημήτρης Κ. Βερβεσός</w:t>
      </w:r>
    </w:p>
    <w:p w14:paraId="62ECEE31" w14:textId="77777777" w:rsidR="00EA0B90" w:rsidRPr="00EA0B90" w:rsidRDefault="00EA0B90" w:rsidP="006E7B3E">
      <w:pPr>
        <w:rPr>
          <w:b/>
          <w:bCs/>
        </w:rPr>
      </w:pPr>
      <w:r w:rsidRPr="00EA0B90">
        <w:rPr>
          <w:b/>
          <w:bCs/>
        </w:rPr>
        <w:t xml:space="preserve">Πρόεδρος της Ολομέλειας των Προέδρων </w:t>
      </w:r>
    </w:p>
    <w:p w14:paraId="516DA81F" w14:textId="0236872C" w:rsidR="00EA0B90" w:rsidRPr="00EA0B90" w:rsidRDefault="00EA0B90" w:rsidP="006E7B3E">
      <w:pPr>
        <w:rPr>
          <w:b/>
          <w:bCs/>
        </w:rPr>
      </w:pPr>
      <w:r w:rsidRPr="00EA0B90">
        <w:rPr>
          <w:b/>
          <w:bCs/>
        </w:rPr>
        <w:t>των Δικηγορικών Συλλόγων Ελλάδος και</w:t>
      </w:r>
    </w:p>
    <w:p w14:paraId="05A99F73" w14:textId="78DDC63C" w:rsidR="00EA0B90" w:rsidRPr="00EA0B90" w:rsidRDefault="00EA0B90" w:rsidP="006E7B3E">
      <w:pPr>
        <w:rPr>
          <w:b/>
          <w:bCs/>
        </w:rPr>
      </w:pPr>
      <w:r w:rsidRPr="00EA0B90">
        <w:rPr>
          <w:b/>
          <w:bCs/>
        </w:rPr>
        <w:t>Πρόεδρος Δικηγορικού Συλλόγου Αθηνών</w:t>
      </w:r>
    </w:p>
    <w:sectPr w:rsidR="00EA0B90" w:rsidRPr="00EA0B90" w:rsidSect="00EA0B9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6100"/>
    <w:multiLevelType w:val="hybridMultilevel"/>
    <w:tmpl w:val="C916D0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5A8B"/>
    <w:multiLevelType w:val="hybridMultilevel"/>
    <w:tmpl w:val="BDFC1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520"/>
    <w:multiLevelType w:val="hybridMultilevel"/>
    <w:tmpl w:val="CBD41A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B"/>
    <w:rsid w:val="001141B8"/>
    <w:rsid w:val="001D5814"/>
    <w:rsid w:val="0025662B"/>
    <w:rsid w:val="0029062C"/>
    <w:rsid w:val="0040746E"/>
    <w:rsid w:val="00414B09"/>
    <w:rsid w:val="004D7FE6"/>
    <w:rsid w:val="006230E8"/>
    <w:rsid w:val="006E7B3E"/>
    <w:rsid w:val="006F4FB1"/>
    <w:rsid w:val="007D729B"/>
    <w:rsid w:val="00862B7A"/>
    <w:rsid w:val="008C7DDA"/>
    <w:rsid w:val="009814A4"/>
    <w:rsid w:val="00A030CB"/>
    <w:rsid w:val="00A10715"/>
    <w:rsid w:val="00BF0B91"/>
    <w:rsid w:val="00C95306"/>
    <w:rsid w:val="00EA0B90"/>
    <w:rsid w:val="00F336CF"/>
    <w:rsid w:val="00F47914"/>
    <w:rsid w:val="00F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CC4F"/>
  <w15:chartTrackingRefBased/>
  <w15:docId w15:val="{BEF191A7-F9CC-4740-9F40-74B5EF2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3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3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3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3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3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30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30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30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30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3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3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3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30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030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30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30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30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3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30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3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30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3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30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30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30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30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3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30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3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Papadopoulos</dc:creator>
  <cp:keywords/>
  <dc:description/>
  <cp:lastModifiedBy>User</cp:lastModifiedBy>
  <cp:revision>2</cp:revision>
  <cp:lastPrinted>2024-10-21T17:12:00Z</cp:lastPrinted>
  <dcterms:created xsi:type="dcterms:W3CDTF">2024-10-21T17:59:00Z</dcterms:created>
  <dcterms:modified xsi:type="dcterms:W3CDTF">2024-10-21T17:59:00Z</dcterms:modified>
</cp:coreProperties>
</file>