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4FEE" w14:textId="77777777" w:rsidR="00161373" w:rsidRPr="008056FF" w:rsidRDefault="00161373" w:rsidP="00556974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8056FF">
        <w:rPr>
          <w:b/>
          <w:sz w:val="24"/>
          <w:szCs w:val="24"/>
        </w:rPr>
        <w:t>ΕΠΙΤΡΟΠΗ</w:t>
      </w:r>
      <w:r w:rsidRPr="008056FF">
        <w:rPr>
          <w:b/>
          <w:sz w:val="24"/>
          <w:szCs w:val="24"/>
          <w:lang w:val="en-US"/>
        </w:rPr>
        <w:t xml:space="preserve"> CCBE </w:t>
      </w:r>
    </w:p>
    <w:p w14:paraId="23CF3A65" w14:textId="372BFCA0" w:rsidR="006F1D44" w:rsidRPr="008056FF" w:rsidRDefault="00556974" w:rsidP="00556974">
      <w:pPr>
        <w:jc w:val="center"/>
        <w:rPr>
          <w:b/>
          <w:sz w:val="24"/>
          <w:szCs w:val="24"/>
          <w:lang w:val="en-US"/>
        </w:rPr>
      </w:pPr>
      <w:r w:rsidRPr="008056FF">
        <w:rPr>
          <w:b/>
          <w:sz w:val="24"/>
          <w:szCs w:val="24"/>
          <w:lang w:val="en-US"/>
        </w:rPr>
        <w:t>FUTURE OF THE LEGAL PROFESSION AND LEGAL SERVICES</w:t>
      </w:r>
    </w:p>
    <w:p w14:paraId="5FFFEEC2" w14:textId="77777777" w:rsidR="00556974" w:rsidRPr="008056FF" w:rsidRDefault="00556974" w:rsidP="00556974">
      <w:pPr>
        <w:jc w:val="center"/>
        <w:rPr>
          <w:b/>
          <w:sz w:val="24"/>
          <w:szCs w:val="24"/>
        </w:rPr>
      </w:pPr>
      <w:r w:rsidRPr="008056FF">
        <w:rPr>
          <w:b/>
          <w:sz w:val="24"/>
          <w:szCs w:val="24"/>
        </w:rPr>
        <w:t>ΔΙΑΔΙΚΤΥΑΚΗ ΣΥΝΕΔΡΙΑΣΗ 18</w:t>
      </w:r>
      <w:r w:rsidRPr="008056FF">
        <w:rPr>
          <w:b/>
          <w:sz w:val="24"/>
          <w:szCs w:val="24"/>
          <w:vertAlign w:val="superscript"/>
        </w:rPr>
        <w:t>ης</w:t>
      </w:r>
      <w:r w:rsidRPr="008056FF">
        <w:rPr>
          <w:b/>
          <w:sz w:val="24"/>
          <w:szCs w:val="24"/>
        </w:rPr>
        <w:t xml:space="preserve"> ΜΑΪΟΥ 2021</w:t>
      </w:r>
    </w:p>
    <w:p w14:paraId="78777FE9" w14:textId="77777777" w:rsidR="00556974" w:rsidRDefault="00556974" w:rsidP="00556974">
      <w:pPr>
        <w:jc w:val="center"/>
      </w:pPr>
    </w:p>
    <w:p w14:paraId="1B72FC04" w14:textId="1EB200ED" w:rsidR="00522F89" w:rsidRDefault="00522F89" w:rsidP="00522F89">
      <w:pPr>
        <w:pStyle w:val="a3"/>
        <w:jc w:val="both"/>
      </w:pPr>
      <w:r>
        <w:t>Στη συνεδρίαση της 18</w:t>
      </w:r>
      <w:r w:rsidRPr="00522F89">
        <w:rPr>
          <w:vertAlign w:val="superscript"/>
        </w:rPr>
        <w:t>ης</w:t>
      </w:r>
      <w:r>
        <w:t xml:space="preserve"> Μαΐου 2021</w:t>
      </w:r>
      <w:r w:rsidR="00C06B16">
        <w:t xml:space="preserve">, στην οποία συμμετείχαν </w:t>
      </w:r>
      <w:r w:rsidR="00CA66CF">
        <w:t>24</w:t>
      </w:r>
      <w:r w:rsidR="00C06B16">
        <w:t xml:space="preserve"> άτομα, μ</w:t>
      </w:r>
      <w:r w:rsidR="00CA66CF">
        <w:t>ε</w:t>
      </w:r>
      <w:r w:rsidR="008056FF">
        <w:t xml:space="preserve"> συμμετοχή από την Ελληνική Αντιπροσωπεία</w:t>
      </w:r>
      <w:r w:rsidR="00CA66CF">
        <w:rPr>
          <w:lang w:bidi="he-IL"/>
        </w:rPr>
        <w:t xml:space="preserve"> του Στάθη Μίχου και της Ηλιάνας Κωστή,</w:t>
      </w:r>
      <w:r>
        <w:t xml:space="preserve"> τα κύρια θέματα της ατζέντας ήταν: </w:t>
      </w:r>
    </w:p>
    <w:p w14:paraId="253AEE5C" w14:textId="77777777" w:rsidR="00522F89" w:rsidRDefault="00522F89" w:rsidP="00522F89">
      <w:pPr>
        <w:pStyle w:val="a3"/>
        <w:jc w:val="both"/>
      </w:pPr>
    </w:p>
    <w:p w14:paraId="60D70F25" w14:textId="020BD044" w:rsidR="008818CF" w:rsidRDefault="00522F89" w:rsidP="00522F89">
      <w:pPr>
        <w:pStyle w:val="a3"/>
        <w:numPr>
          <w:ilvl w:val="0"/>
          <w:numId w:val="2"/>
        </w:numPr>
        <w:jc w:val="both"/>
      </w:pPr>
      <w:r>
        <w:t xml:space="preserve">Σχολιασμός της δημοσιευθείσας πρότασης Κανονισμού για την τεχνητή νοημοσύνη </w:t>
      </w:r>
      <w:r w:rsidR="00C06B16">
        <w:t xml:space="preserve">(ΤΝ) </w:t>
      </w:r>
      <w:r>
        <w:t xml:space="preserve">από την </w:t>
      </w:r>
      <w:r w:rsidR="00CA66CF">
        <w:t>Ευρωπαϊκή Επιτροπή</w:t>
      </w:r>
      <w:r>
        <w:t xml:space="preserve">: </w:t>
      </w:r>
      <w:r w:rsidR="00C06B16">
        <w:t xml:space="preserve">Ο Κανονισμός προβλέπει μεταξύ άλλων, την κατηγοριοποίηση εφαρμογών ΤΝ αναλόγως του ρίσκου από τη χρήση τους. Ορισμένες εφαρμογές θεωρούνται μη αποδεκτού ρίσκου, άλλες υψηλού και άλλες περιορισμένου ή ελάχιστου ρίσκου, με αντίστοιχες προβλέψεις για κάθε κατηγορία. Οι εφαρμογές για την Δικαιοσύνη και την τήρηση του Νόμου θεωρούνται υψηλού ρίσκου. Ο Κανονισμός προβλέπει και Πανευρωπαϊκό Όργανο εποπτείας του και υψηλά πρόστιμα για μη συμμόρφωση. </w:t>
      </w:r>
      <w:r w:rsidR="00CA66CF">
        <w:t xml:space="preserve">Κατά τη συνεδρίαση </w:t>
      </w:r>
      <w:r>
        <w:t>συμφωνήθηκε η δημιουργία μίας ειδικής ομάδας (</w:t>
      </w:r>
      <w:r>
        <w:rPr>
          <w:lang w:val="en-US"/>
        </w:rPr>
        <w:t>task</w:t>
      </w:r>
      <w:r w:rsidRPr="00522F89">
        <w:t xml:space="preserve"> </w:t>
      </w:r>
      <w:r>
        <w:rPr>
          <w:lang w:val="en-US"/>
        </w:rPr>
        <w:t>force</w:t>
      </w:r>
      <w:r w:rsidRPr="00522F89">
        <w:t xml:space="preserve">) </w:t>
      </w:r>
      <w:r>
        <w:t xml:space="preserve">η οποία θα αποτελείται από μέλη διαφορετικών επιτροπών και η οποία θα συνεργαστεί προκειμένου να κατατεθεί η τοποθέτηση του </w:t>
      </w:r>
      <w:r>
        <w:rPr>
          <w:lang w:val="en-US"/>
        </w:rPr>
        <w:t>CCBE</w:t>
      </w:r>
      <w:r w:rsidRPr="00522F89">
        <w:t xml:space="preserve"> </w:t>
      </w:r>
      <w:r>
        <w:t>στην Ευρωπαϊκή Επιτροπή έως τις 6/7.</w:t>
      </w:r>
      <w:r w:rsidR="008818CF">
        <w:t xml:space="preserve"> </w:t>
      </w:r>
    </w:p>
    <w:p w14:paraId="097C0EB2" w14:textId="77777777" w:rsidR="008056FF" w:rsidRDefault="008818CF" w:rsidP="008818CF">
      <w:pPr>
        <w:pStyle w:val="a3"/>
        <w:ind w:left="1080"/>
        <w:jc w:val="both"/>
      </w:pPr>
      <w:r>
        <w:t>Ως προς την πρόταση του Κανονισμού σχολιάστηκαν τα ακόλουθα:</w:t>
      </w:r>
    </w:p>
    <w:p w14:paraId="68FCC284" w14:textId="77777777" w:rsidR="008056FF" w:rsidRDefault="008056FF" w:rsidP="008818CF">
      <w:pPr>
        <w:pStyle w:val="a3"/>
        <w:ind w:left="1080"/>
        <w:jc w:val="both"/>
      </w:pPr>
    </w:p>
    <w:p w14:paraId="491E2E9D" w14:textId="630AC17D" w:rsidR="008056FF" w:rsidRDefault="001A046C" w:rsidP="008056FF">
      <w:pPr>
        <w:pStyle w:val="a3"/>
        <w:numPr>
          <w:ilvl w:val="0"/>
          <w:numId w:val="3"/>
        </w:numPr>
        <w:jc w:val="both"/>
      </w:pPr>
      <w:r>
        <w:t xml:space="preserve">Ως προς το α. 8 του </w:t>
      </w:r>
      <w:r w:rsidR="008818CF">
        <w:t>Παρ</w:t>
      </w:r>
      <w:r>
        <w:t>α</w:t>
      </w:r>
      <w:r w:rsidR="008818CF">
        <w:t>ρτ</w:t>
      </w:r>
      <w:r>
        <w:t xml:space="preserve">ήματος ΙΙΙ, ήτοι </w:t>
      </w:r>
      <w:r w:rsidR="008818CF">
        <w:t xml:space="preserve">ως προς </w:t>
      </w:r>
      <w:r w:rsidR="002E2A84">
        <w:t>τα υψηλού ρίσκου συστήματα τεχνητής νοημοσύνης τα οποία χρησιμοποιούνται στη δικαιοσύνη και τις δημοκρατικές διαδικασίες</w:t>
      </w:r>
      <w:r>
        <w:t>,</w:t>
      </w:r>
      <w:r w:rsidR="002E2A84">
        <w:t xml:space="preserve"> συζητήθηκε εάν </w:t>
      </w:r>
      <w:r w:rsidR="007D5FE5">
        <w:t xml:space="preserve">το άρθρο </w:t>
      </w:r>
      <w:r w:rsidR="002E2A84">
        <w:t>αφορά σε συστήματα που υποβοηθούν ή σε συστήματα που λαμβάνουν την απόφαση για λογαριασμό του δικαστή. Η ελληνική αποστολή, μέσω της κ. Κωστή, τοποθετήθηκε ως προς το ζήτημα υποστηρίζοντας ότι όσον αφορά στη δικαιοσύνη η τεχνητή νοημοσύνη είναι ένα υποβοηθητικό εργαλείο με τον ανθρώπινο δικαστή να είναι απαραίτητος ως προς τη συνολική θεώρηση εκάστης υπόθεσης</w:t>
      </w:r>
      <w:r w:rsidR="00B14A70">
        <w:t>, λαμβ</w:t>
      </w:r>
      <w:r w:rsidR="003E5927">
        <w:t>ανομένης</w:t>
      </w:r>
      <w:r w:rsidR="00B14A70">
        <w:t xml:space="preserve"> υπ’όψιν και τη</w:t>
      </w:r>
      <w:r w:rsidR="003E5927">
        <w:t>ς</w:t>
      </w:r>
      <w:r w:rsidR="00B14A70">
        <w:t xml:space="preserve"> χρήση</w:t>
      </w:r>
      <w:r w:rsidR="003E5927">
        <w:t>ς</w:t>
      </w:r>
      <w:r w:rsidR="00B14A70">
        <w:t xml:space="preserve"> υποβοηθητικών συστημάτων στις Η.Π.Α. τα οποία έχει αποδειχθεί ότι εμπεριέχουν προκατάληψη στο αποτέλεσμά τους</w:t>
      </w:r>
      <w:r w:rsidR="002E2A84">
        <w:t>. Τόνισε, επίσης, ότι απαιτείται μεγάλη προσοχή ως προς το</w:t>
      </w:r>
      <w:r w:rsidR="002E2A84" w:rsidRPr="002E2A84">
        <w:t xml:space="preserve"> </w:t>
      </w:r>
      <w:r w:rsidR="002E2A84">
        <w:t>«συγκεκριμένο σύνολο γεγονότων» επί του οποίου ένα σύστημα τεχνητής νοημοσύνης λαμβάνει απόφαση καθώς όσον αφορά στη διαδικασία ενώπιον της δικαιοσύνης αυτό δύναται να αλλάξει πολλές φορές</w:t>
      </w:r>
      <w:r>
        <w:t xml:space="preserve">, τοποθέτηση με την </w:t>
      </w:r>
      <w:r w:rsidR="008056FF">
        <w:t xml:space="preserve">οποία συμφώνησε και ο παριστάμενος Αντιπρόεδρος της </w:t>
      </w:r>
      <w:r w:rsidR="008056FF">
        <w:rPr>
          <w:lang w:val="en-US"/>
        </w:rPr>
        <w:t>CCBE</w:t>
      </w:r>
      <w:r w:rsidR="008056FF" w:rsidRPr="008056FF">
        <w:t xml:space="preserve">. </w:t>
      </w:r>
      <w:r w:rsidR="00B14A70">
        <w:t xml:space="preserve"> </w:t>
      </w:r>
    </w:p>
    <w:p w14:paraId="73A77269" w14:textId="77777777" w:rsidR="008056FF" w:rsidRDefault="00B14A70" w:rsidP="008056FF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ii</w:t>
      </w:r>
      <w:r w:rsidRPr="00B14A70">
        <w:t xml:space="preserve">. </w:t>
      </w:r>
      <w:r w:rsidR="001A046C">
        <w:t xml:space="preserve">Ως προς το α. 6 του </w:t>
      </w:r>
      <w:r>
        <w:t>Παρ</w:t>
      </w:r>
      <w:r w:rsidR="001A046C">
        <w:t>αρτήματος</w:t>
      </w:r>
      <w:r>
        <w:t xml:space="preserve"> 3 ως προς τα υψηλού ρίσκου συστήματα τεχνητής νοημοσύνης τα οποία χρησιμοποιούνται για την επιβολή του νόμου, τονίστηκε ότι υφίσταται κίνδυνος να </w:t>
      </w:r>
      <w:r>
        <w:lastRenderedPageBreak/>
        <w:t xml:space="preserve">νομιμοποιηθούν πρακτικές που θέτουν σε κίνδυνο τα θεμελιώδη ανθρώπινα δικαιώματα. </w:t>
      </w:r>
    </w:p>
    <w:p w14:paraId="324ECA83" w14:textId="77777777" w:rsidR="008056FF" w:rsidRDefault="00B14A70" w:rsidP="008056FF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iii</w:t>
      </w:r>
      <w:r w:rsidRPr="00B14A70">
        <w:t xml:space="preserve">. </w:t>
      </w:r>
      <w:r w:rsidR="003E5927">
        <w:t>Ως προς το α. 5 της πρότασης του Κανονισμού</w:t>
      </w:r>
      <w:r w:rsidR="002E2A84">
        <w:t xml:space="preserve"> </w:t>
      </w:r>
      <w:r w:rsidR="003E5927">
        <w:t xml:space="preserve">σχετικά με τις απαγορευμένες πρακτικές συζητήθηκε εάν θα πρέπει να συμπεριληφθεί και η απαγόρευση της λήψης αποφάσεων από την τεχνητή νοημοσύνη καθώς και η απαγόρευση ανάπτυξης συστημάτων από ιδιωτικές επιχειρήσεις τα οποία προορίζονται για χρήση από την δικαιοσύνη ή τις Αρχές και </w:t>
      </w:r>
    </w:p>
    <w:p w14:paraId="356CE279" w14:textId="13BBE2FA" w:rsidR="00522F89" w:rsidRDefault="003E5927" w:rsidP="008056FF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iv</w:t>
      </w:r>
      <w:r w:rsidRPr="003E5927">
        <w:t xml:space="preserve">. </w:t>
      </w:r>
      <w:r>
        <w:t>Ως προς το α.  13 σχετικά με τη διαφάνεια στην τεχνητή νοημοσύνη συζητήθηκε η ανάγκη να διαφυλαχθεί το δικαίωμα υπεράσπισης των κατηγορουμένων. Η ελληνική αποστολή</w:t>
      </w:r>
      <w:r w:rsidR="001A046C">
        <w:t>,</w:t>
      </w:r>
      <w:r>
        <w:t xml:space="preserve"> μέσω της κ. Κωστή</w:t>
      </w:r>
      <w:r w:rsidR="001A046C">
        <w:t>,</w:t>
      </w:r>
      <w:r>
        <w:t xml:space="preserve"> τοποθετήθηκε λέγοντας ότι η διαφάνεια και η επεξηγησιμότητα των συστημάτων τεχνητής νοημοσύνης μπορούν να επιτευχθούν έως ένα βαθμό μόνο</w:t>
      </w:r>
      <w:r w:rsidR="001A046C">
        <w:t>,</w:t>
      </w:r>
      <w:r>
        <w:t xml:space="preserve"> εξαιτίας του προβλήματος του μαύρου κουτιού, ήτοι της αδυναμίας επεξήγησης του τρόπου που το σύστημα κατέληξε σε ένα αποτέλεσμα.</w:t>
      </w:r>
    </w:p>
    <w:p w14:paraId="16E46206" w14:textId="08D49028" w:rsidR="00161373" w:rsidRDefault="00161373" w:rsidP="008818CF">
      <w:pPr>
        <w:pStyle w:val="a3"/>
        <w:ind w:left="1080"/>
        <w:jc w:val="both"/>
        <w:rPr>
          <w:lang w:bidi="he-IL"/>
        </w:rPr>
      </w:pPr>
      <w:r>
        <w:t>Παρόμοιες προβληματικές αναπτύχθηκαν και την επομένη, 19.5.2021, στην κοινή συνεδρίαση των επιτροπών Πληροφορικής Τεχνολογίας (ΙΤ) και Παρακολουθήσεων (</w:t>
      </w:r>
      <w:r>
        <w:rPr>
          <w:lang w:val="en-US"/>
        </w:rPr>
        <w:t>Surveillance</w:t>
      </w:r>
      <w:r w:rsidRPr="00CA66CF">
        <w:t>),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 xml:space="preserve"> στην οποία συμμετείχαν επίσης οι Η.Κωστή και Σ.Μίχος καθώς και ο Α. Αναγνωστάκης.</w:t>
      </w:r>
    </w:p>
    <w:p w14:paraId="29FF4D10" w14:textId="77777777" w:rsidR="008056FF" w:rsidRPr="00161373" w:rsidRDefault="008056FF" w:rsidP="008818CF">
      <w:pPr>
        <w:pStyle w:val="a3"/>
        <w:ind w:left="1080"/>
        <w:jc w:val="both"/>
        <w:rPr>
          <w:lang w:bidi="he-IL"/>
        </w:rPr>
      </w:pPr>
    </w:p>
    <w:p w14:paraId="2D39023E" w14:textId="2ABC9F78" w:rsidR="00556974" w:rsidRDefault="007D5FE5" w:rsidP="00522F89">
      <w:pPr>
        <w:pStyle w:val="a3"/>
        <w:numPr>
          <w:ilvl w:val="0"/>
          <w:numId w:val="2"/>
        </w:numPr>
        <w:jc w:val="both"/>
      </w:pPr>
      <w:r>
        <w:t xml:space="preserve">Προσχέδιο </w:t>
      </w:r>
      <w:r w:rsidR="00C06B16">
        <w:t xml:space="preserve">εγγράφου </w:t>
      </w:r>
      <w:r>
        <w:t>σχετικά με την</w:t>
      </w:r>
      <w:r w:rsidR="00522F89">
        <w:t xml:space="preserve"> επίδραση της τεχνητής νοημοσύνης στην παροχή</w:t>
      </w:r>
      <w:r>
        <w:t xml:space="preserve"> των νομικών υπηρεσιών: η ελληνική αποστολή, μέσω του κ. Μίχου, συνέταξε παρατηρήσεις επί του προσχεδίου, οι οποίες είναι προς αποστολή στην Επιτροπή. </w:t>
      </w:r>
      <w:r w:rsidR="00522F89">
        <w:t xml:space="preserve"> </w:t>
      </w:r>
      <w:r w:rsidR="00522F89" w:rsidRPr="00522F89">
        <w:t xml:space="preserve"> </w:t>
      </w:r>
      <w:r w:rsidR="00522F89">
        <w:t xml:space="preserve"> </w:t>
      </w:r>
    </w:p>
    <w:p w14:paraId="423C3A26" w14:textId="77777777" w:rsidR="008056FF" w:rsidRDefault="008056FF" w:rsidP="008056FF">
      <w:pPr>
        <w:pStyle w:val="a3"/>
        <w:ind w:left="1080"/>
        <w:jc w:val="both"/>
      </w:pPr>
    </w:p>
    <w:p w14:paraId="7F17C688" w14:textId="77777777" w:rsidR="001A046C" w:rsidRDefault="007D5FE5" w:rsidP="00522F89">
      <w:pPr>
        <w:pStyle w:val="a3"/>
        <w:numPr>
          <w:ilvl w:val="0"/>
          <w:numId w:val="2"/>
        </w:numPr>
        <w:jc w:val="both"/>
      </w:pPr>
      <w:r>
        <w:t xml:space="preserve">Σχέδιο δράσης για δικαιοσύνη με τη χρήση τεχνολογικών εργαλείων: υφίστανται πέντε υποομάδες οι οποίες εργάζονται σχετικά με την ψηφιακή ταυτότητα/υποβολή στο δικαστήριο, τη διαχείριση της υπόθεσης έως την ακρόαση, </w:t>
      </w:r>
      <w:r w:rsidR="001A046C">
        <w:t>την ακρόαση μέσω βίντεο, τη σύσκεψη μέσω ψηφιακών εργαλείων και τη λήψη της απόφασης. Οι σχετικές μελέτες/προτάσεις θα αποσταλούν πριν από την επόμενη συνάντηση</w:t>
      </w:r>
      <w:r w:rsidR="00B91557" w:rsidRPr="00B91557">
        <w:t xml:space="preserve">, </w:t>
      </w:r>
      <w:r w:rsidR="00B91557">
        <w:t>η οποία θα λάβει χώρα στις 15/6</w:t>
      </w:r>
      <w:r w:rsidR="001A046C">
        <w:t>.</w:t>
      </w:r>
    </w:p>
    <w:p w14:paraId="720998CE" w14:textId="77777777" w:rsidR="008056FF" w:rsidRDefault="008056FF" w:rsidP="008056FF">
      <w:pPr>
        <w:pStyle w:val="a3"/>
      </w:pPr>
    </w:p>
    <w:p w14:paraId="1B8FADC1" w14:textId="77777777" w:rsidR="008056FF" w:rsidRDefault="008056FF" w:rsidP="008056FF">
      <w:pPr>
        <w:pStyle w:val="a3"/>
        <w:ind w:left="1080"/>
        <w:jc w:val="both"/>
      </w:pPr>
    </w:p>
    <w:p w14:paraId="4E285095" w14:textId="77777777" w:rsidR="00522F89" w:rsidRPr="00556974" w:rsidRDefault="007D5FE5" w:rsidP="00522F89">
      <w:pPr>
        <w:pStyle w:val="a3"/>
        <w:numPr>
          <w:ilvl w:val="0"/>
          <w:numId w:val="2"/>
        </w:numPr>
        <w:jc w:val="both"/>
      </w:pPr>
      <w:r>
        <w:t xml:space="preserve"> </w:t>
      </w:r>
      <w:r w:rsidR="001A046C">
        <w:t xml:space="preserve">Μελέτη της Ευρωπαϊκής Επιτροπής σχετικά με τον ψηφιακό αυτοματισμό στις επαγγελματικές υπηρεσίες. Η Επιτροπή </w:t>
      </w:r>
      <w:r w:rsidR="001A046C">
        <w:rPr>
          <w:lang w:val="en-US"/>
        </w:rPr>
        <w:t>EU</w:t>
      </w:r>
      <w:r w:rsidR="001A046C" w:rsidRPr="001A046C">
        <w:t xml:space="preserve"> </w:t>
      </w:r>
      <w:r w:rsidR="001A046C">
        <w:rPr>
          <w:lang w:val="en-US"/>
        </w:rPr>
        <w:t>Lawyers</w:t>
      </w:r>
      <w:r w:rsidR="001A046C" w:rsidRPr="001A046C">
        <w:t xml:space="preserve"> </w:t>
      </w:r>
      <w:r w:rsidR="001A046C">
        <w:t xml:space="preserve">θα συντάξει επιστολή με σχολιασμό της </w:t>
      </w:r>
      <w:r w:rsidR="00B91557">
        <w:t>μελέτης</w:t>
      </w:r>
      <w:r w:rsidR="001A046C">
        <w:t xml:space="preserve"> προς αποστολή στην Ευρωπαϊκή  Επιτροπή. Σχόλια δύνανται να κατατεθούν έως 26/5/2021.  </w:t>
      </w:r>
    </w:p>
    <w:sectPr w:rsidR="00522F89" w:rsidRPr="00556974" w:rsidSect="006F1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7BC6" w16cex:dateUtc="2021-05-24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4F3866" w16cid:durableId="24567B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5D13"/>
    <w:multiLevelType w:val="hybridMultilevel"/>
    <w:tmpl w:val="A24491AC"/>
    <w:lvl w:ilvl="0" w:tplc="A9D03318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5403513F"/>
    <w:multiLevelType w:val="hybridMultilevel"/>
    <w:tmpl w:val="FEF245E2"/>
    <w:lvl w:ilvl="0" w:tplc="9892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C4C39"/>
    <w:multiLevelType w:val="hybridMultilevel"/>
    <w:tmpl w:val="90849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4"/>
    <w:rsid w:val="00104DFD"/>
    <w:rsid w:val="00121C1C"/>
    <w:rsid w:val="00161373"/>
    <w:rsid w:val="001A046C"/>
    <w:rsid w:val="002E2A84"/>
    <w:rsid w:val="00331294"/>
    <w:rsid w:val="003E5927"/>
    <w:rsid w:val="00522F89"/>
    <w:rsid w:val="00556974"/>
    <w:rsid w:val="006F1D44"/>
    <w:rsid w:val="007D5FE5"/>
    <w:rsid w:val="008056FF"/>
    <w:rsid w:val="008818CF"/>
    <w:rsid w:val="00B14A70"/>
    <w:rsid w:val="00B91557"/>
    <w:rsid w:val="00C06B16"/>
    <w:rsid w:val="00C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AF1"/>
  <w15:docId w15:val="{6D8033F2-72D4-41D6-94F5-BE15D36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6B1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06B16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C06B1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C06B16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C06B16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C06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Kosti (Athens)</dc:creator>
  <cp:lastModifiedBy>User</cp:lastModifiedBy>
  <cp:revision>2</cp:revision>
  <dcterms:created xsi:type="dcterms:W3CDTF">2021-05-26T09:58:00Z</dcterms:created>
  <dcterms:modified xsi:type="dcterms:W3CDTF">2021-05-26T09:58:00Z</dcterms:modified>
</cp:coreProperties>
</file>