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18F96" w14:textId="77777777" w:rsidR="009D2329" w:rsidRPr="00016281" w:rsidRDefault="009D2329" w:rsidP="009D2329">
      <w:pPr>
        <w:rPr>
          <w:lang w:val="en-US"/>
        </w:rPr>
      </w:pPr>
      <w:bookmarkStart w:id="0" w:name="_GoBack"/>
      <w:bookmarkEnd w:id="0"/>
      <w:r>
        <w:rPr>
          <w:rFonts w:ascii="Arial" w:hAnsi="Arial" w:cs="Arial"/>
          <w:b/>
          <w:bCs/>
          <w:color w:val="0B4284"/>
          <w:sz w:val="22"/>
          <w:szCs w:val="22"/>
          <w:u w:val="single"/>
          <w:lang w:val="en-US"/>
        </w:rPr>
        <w:t>REIMBURSEMENT OF TRAVEL AND SUBSISTENCE COSTS</w:t>
      </w:r>
    </w:p>
    <w:p w14:paraId="6EEE6740" w14:textId="77777777" w:rsidR="009D2329" w:rsidRPr="00016281" w:rsidRDefault="009D2329" w:rsidP="009D2329">
      <w:pPr>
        <w:rPr>
          <w:lang w:val="en-US"/>
        </w:rPr>
      </w:pPr>
      <w:r>
        <w:rPr>
          <w:rFonts w:ascii="Arial" w:hAnsi="Arial" w:cs="Arial"/>
          <w:b/>
          <w:bCs/>
          <w:color w:val="0B4284"/>
          <w:sz w:val="22"/>
          <w:szCs w:val="22"/>
          <w:lang w:val="en-US"/>
        </w:rPr>
        <w:t> </w:t>
      </w:r>
    </w:p>
    <w:p w14:paraId="4AFBE288" w14:textId="77777777" w:rsidR="009D2329" w:rsidRPr="00016281" w:rsidRDefault="009D2329" w:rsidP="009D2329">
      <w:pPr>
        <w:pStyle w:val="2"/>
        <w:ind w:left="720" w:hanging="360"/>
        <w:rPr>
          <w:rFonts w:eastAsia="Times New Roman"/>
          <w:lang w:val="en-US"/>
        </w:rPr>
      </w:pPr>
      <w:r>
        <w:rPr>
          <w:rFonts w:eastAsia="Times New Roman"/>
          <w:lang w:val="en-US"/>
        </w:rPr>
        <w:t>Travel allowance</w:t>
      </w:r>
    </w:p>
    <w:p w14:paraId="3C2E64FB" w14:textId="77777777" w:rsidR="009D2329" w:rsidRPr="00016281" w:rsidRDefault="009D2329" w:rsidP="009D2329">
      <w:pPr>
        <w:jc w:val="both"/>
        <w:rPr>
          <w:lang w:val="en-US"/>
        </w:rPr>
      </w:pPr>
      <w:r>
        <w:rPr>
          <w:rFonts w:ascii="Arial" w:hAnsi="Arial" w:cs="Arial"/>
          <w:sz w:val="22"/>
          <w:szCs w:val="22"/>
          <w:lang w:val="en-US"/>
        </w:rPr>
        <w:t> </w:t>
      </w:r>
    </w:p>
    <w:p w14:paraId="5AE4C866" w14:textId="77777777" w:rsidR="009D2329" w:rsidRPr="00016281" w:rsidRDefault="009D2329" w:rsidP="009D2329">
      <w:pPr>
        <w:jc w:val="both"/>
        <w:rPr>
          <w:color w:val="000000"/>
          <w:lang w:val="en-US"/>
        </w:rPr>
      </w:pPr>
      <w:r>
        <w:rPr>
          <w:rFonts w:ascii="Arial" w:hAnsi="Arial" w:cs="Arial"/>
          <w:color w:val="000000"/>
          <w:sz w:val="22"/>
          <w:szCs w:val="22"/>
          <w:lang w:val="en-GB"/>
        </w:rPr>
        <w:t xml:space="preserve">Each </w:t>
      </w:r>
      <w:r>
        <w:rPr>
          <w:rFonts w:ascii="Arial" w:hAnsi="Arial" w:cs="Arial"/>
          <w:color w:val="000000"/>
          <w:sz w:val="22"/>
          <w:szCs w:val="22"/>
          <w:lang w:val="en-US"/>
        </w:rPr>
        <w:t xml:space="preserve">granted </w:t>
      </w:r>
      <w:r>
        <w:rPr>
          <w:rFonts w:ascii="Arial" w:hAnsi="Arial" w:cs="Arial"/>
          <w:color w:val="000000"/>
          <w:sz w:val="22"/>
          <w:szCs w:val="22"/>
          <w:lang w:val="en-GB"/>
        </w:rPr>
        <w:t xml:space="preserve">person is entitled to a fixed travel allowance which is determined by the European Commission to cover the travel cost from the </w:t>
      </w:r>
      <w:r>
        <w:rPr>
          <w:rFonts w:ascii="Arial" w:hAnsi="Arial" w:cs="Arial"/>
          <w:color w:val="000000"/>
          <w:sz w:val="22"/>
          <w:szCs w:val="22"/>
          <w:u w:val="single"/>
          <w:lang w:val="en-GB"/>
        </w:rPr>
        <w:t>city of employment</w:t>
      </w:r>
      <w:r>
        <w:rPr>
          <w:rFonts w:ascii="Arial" w:hAnsi="Arial" w:cs="Arial"/>
          <w:color w:val="000000"/>
          <w:sz w:val="22"/>
          <w:szCs w:val="22"/>
          <w:lang w:val="en-GB"/>
        </w:rPr>
        <w:t xml:space="preserve"> to </w:t>
      </w:r>
      <w:r>
        <w:rPr>
          <w:rFonts w:ascii="Arial" w:hAnsi="Arial" w:cs="Arial"/>
          <w:color w:val="000000"/>
          <w:sz w:val="22"/>
          <w:szCs w:val="22"/>
          <w:u w:val="single"/>
          <w:lang w:val="en-GB"/>
        </w:rPr>
        <w:t>the city of destination</w:t>
      </w:r>
      <w:r>
        <w:rPr>
          <w:rFonts w:ascii="Arial" w:hAnsi="Arial" w:cs="Arial"/>
          <w:color w:val="000000"/>
          <w:sz w:val="22"/>
          <w:szCs w:val="22"/>
          <w:lang w:val="en-GB"/>
        </w:rPr>
        <w:t xml:space="preserve">. The calculation of the travel allowance is based on the linear distance between the </w:t>
      </w:r>
      <w:r>
        <w:rPr>
          <w:rFonts w:ascii="Arial" w:hAnsi="Arial" w:cs="Arial"/>
          <w:color w:val="000000"/>
          <w:sz w:val="22"/>
          <w:szCs w:val="22"/>
          <w:u w:val="single"/>
          <w:lang w:val="en-GB"/>
        </w:rPr>
        <w:t>city of employment</w:t>
      </w:r>
      <w:r>
        <w:rPr>
          <w:rFonts w:ascii="Arial" w:hAnsi="Arial" w:cs="Arial"/>
          <w:color w:val="000000"/>
          <w:sz w:val="22"/>
          <w:szCs w:val="22"/>
          <w:lang w:val="en-GB"/>
        </w:rPr>
        <w:t xml:space="preserve"> and the </w:t>
      </w:r>
      <w:r>
        <w:rPr>
          <w:rFonts w:ascii="Arial" w:hAnsi="Arial" w:cs="Arial"/>
          <w:color w:val="000000"/>
          <w:sz w:val="22"/>
          <w:szCs w:val="22"/>
          <w:u w:val="single"/>
          <w:lang w:val="en-GB"/>
        </w:rPr>
        <w:t>city of destination</w:t>
      </w:r>
      <w:r>
        <w:rPr>
          <w:rFonts w:ascii="Arial" w:hAnsi="Arial" w:cs="Arial"/>
          <w:color w:val="000000"/>
          <w:sz w:val="22"/>
          <w:szCs w:val="22"/>
          <w:lang w:val="en-GB"/>
        </w:rPr>
        <w:t xml:space="preserve"> (you should calculate the distance only once and this will give you the allowance for a return ticket). To make this calculation, participants should access the European Commission’s distance calculator to be found </w:t>
      </w:r>
      <w:r w:rsidR="00016281">
        <w:fldChar w:fldCharType="begin"/>
      </w:r>
      <w:r w:rsidR="00016281" w:rsidRPr="00016281">
        <w:rPr>
          <w:lang w:val="en-US"/>
        </w:rPr>
        <w:instrText xml:space="preserve"> HYPERLINK "https://ec.europa.eu/info/funding-tenders/procedures-guidelines-tenders/information-contractors-and-beneficiaries/calculate-unit-costs-eligible-travel</w:instrText>
      </w:r>
      <w:r w:rsidR="00016281" w:rsidRPr="00016281">
        <w:rPr>
          <w:lang w:val="en-US"/>
        </w:rPr>
        <w:instrText xml:space="preserve">-costs_en" </w:instrText>
      </w:r>
      <w:r w:rsidR="00016281">
        <w:fldChar w:fldCharType="separate"/>
      </w:r>
      <w:r>
        <w:rPr>
          <w:rStyle w:val="-"/>
          <w:rFonts w:ascii="Arial" w:hAnsi="Arial" w:cs="Arial"/>
          <w:color w:val="000000"/>
          <w:sz w:val="22"/>
          <w:szCs w:val="22"/>
          <w:lang w:val="en-GB"/>
        </w:rPr>
        <w:t>here</w:t>
      </w:r>
      <w:r w:rsidR="00016281">
        <w:rPr>
          <w:rStyle w:val="-"/>
          <w:rFonts w:ascii="Arial" w:hAnsi="Arial" w:cs="Arial"/>
          <w:color w:val="000000"/>
          <w:sz w:val="22"/>
          <w:szCs w:val="22"/>
          <w:lang w:val="en-GB"/>
        </w:rPr>
        <w:fldChar w:fldCharType="end"/>
      </w:r>
      <w:r>
        <w:rPr>
          <w:rFonts w:ascii="Arial" w:hAnsi="Arial" w:cs="Arial"/>
          <w:color w:val="000000"/>
          <w:sz w:val="22"/>
          <w:szCs w:val="22"/>
          <w:lang w:val="nl-NL"/>
        </w:rPr>
        <w:t xml:space="preserve"> and use the higher amounts indicated in Table 2</w:t>
      </w:r>
      <w:r>
        <w:rPr>
          <w:rFonts w:ascii="Arial" w:hAnsi="Arial" w:cs="Arial"/>
          <w:color w:val="000000"/>
          <w:sz w:val="22"/>
          <w:szCs w:val="22"/>
          <w:lang w:val="en-GB"/>
        </w:rPr>
        <w:t xml:space="preserve">. The prices listed on the EC’s website are meant for return travels and not one-way travels. </w:t>
      </w:r>
    </w:p>
    <w:p w14:paraId="15E8DB61" w14:textId="77777777" w:rsidR="009D2329" w:rsidRPr="00016281" w:rsidRDefault="009D2329" w:rsidP="009D2329">
      <w:pPr>
        <w:jc w:val="both"/>
        <w:rPr>
          <w:lang w:val="en-US"/>
        </w:rPr>
      </w:pPr>
      <w:r>
        <w:rPr>
          <w:rFonts w:ascii="Arial" w:hAnsi="Arial" w:cs="Arial"/>
          <w:sz w:val="22"/>
          <w:szCs w:val="22"/>
          <w:lang w:val="en-GB"/>
        </w:rPr>
        <w:t> </w:t>
      </w:r>
    </w:p>
    <w:p w14:paraId="2134E86A" w14:textId="77777777" w:rsidR="009D2329" w:rsidRPr="00016281" w:rsidRDefault="009D2329" w:rsidP="009D2329">
      <w:pPr>
        <w:pStyle w:val="2"/>
        <w:ind w:left="720" w:hanging="360"/>
        <w:rPr>
          <w:rFonts w:eastAsia="Times New Roman"/>
          <w:lang w:val="en-US"/>
        </w:rPr>
      </w:pPr>
      <w:r>
        <w:rPr>
          <w:rFonts w:eastAsia="Times New Roman"/>
          <w:lang w:val="en-US"/>
        </w:rPr>
        <w:t>Subsistence allowance</w:t>
      </w:r>
    </w:p>
    <w:p w14:paraId="05C4EBA0" w14:textId="77777777" w:rsidR="009D2329" w:rsidRPr="00016281" w:rsidRDefault="009D2329" w:rsidP="009D2329">
      <w:pPr>
        <w:jc w:val="both"/>
        <w:rPr>
          <w:lang w:val="en-US"/>
        </w:rPr>
      </w:pPr>
      <w:r>
        <w:rPr>
          <w:rFonts w:ascii="Arial" w:hAnsi="Arial" w:cs="Arial"/>
          <w:sz w:val="22"/>
          <w:szCs w:val="22"/>
          <w:lang w:val="en-US"/>
        </w:rPr>
        <w:t> </w:t>
      </w:r>
    </w:p>
    <w:p w14:paraId="6E9006AE" w14:textId="77777777" w:rsidR="009D2329" w:rsidRPr="00016281" w:rsidRDefault="009D2329" w:rsidP="009D2329">
      <w:pPr>
        <w:jc w:val="both"/>
        <w:rPr>
          <w:color w:val="0B4284"/>
          <w:lang w:val="en-US"/>
        </w:rPr>
      </w:pPr>
      <w:r>
        <w:rPr>
          <w:rFonts w:ascii="Arial" w:hAnsi="Arial" w:cs="Arial"/>
          <w:color w:val="000000"/>
          <w:sz w:val="22"/>
          <w:szCs w:val="22"/>
          <w:lang w:val="en-US"/>
        </w:rPr>
        <w:t xml:space="preserve">The subsistence allowance is based on a fixed cost, which was decided by project partners during the preparation of the project. </w:t>
      </w:r>
      <w:r>
        <w:rPr>
          <w:rFonts w:ascii="Arial" w:hAnsi="Arial" w:cs="Arial"/>
          <w:snapToGrid w:val="0"/>
          <w:color w:val="000000"/>
          <w:sz w:val="22"/>
          <w:szCs w:val="22"/>
          <w:lang w:val="en-US"/>
        </w:rPr>
        <w:t>The subsistence allowance for granted persons will consist of a common per diem amount of 150 EUR x 2 days = 300 EUR for the TRALVU and TRALIM seminars and 150 EUR x 3 days = 450 EUR for the short visits</w:t>
      </w:r>
      <w:r>
        <w:rPr>
          <w:rFonts w:ascii="Arial" w:hAnsi="Arial" w:cs="Arial"/>
          <w:snapToGrid w:val="0"/>
          <w:color w:val="0B4284"/>
          <w:sz w:val="22"/>
          <w:szCs w:val="22"/>
          <w:lang w:val="en-US"/>
        </w:rPr>
        <w:t>.</w:t>
      </w:r>
      <w:r>
        <w:rPr>
          <w:rFonts w:ascii="Arial" w:hAnsi="Arial" w:cs="Arial"/>
          <w:snapToGrid w:val="0"/>
          <w:color w:val="000000"/>
          <w:sz w:val="22"/>
          <w:szCs w:val="22"/>
          <w:lang w:val="en-US"/>
        </w:rPr>
        <w:t xml:space="preserve"> All accommodation arrangements will be responsibility of the participants and the speakers, and they will also be responsible to cover possible cancellation fees if they don’t travel to attend the events they were selected for. </w:t>
      </w:r>
    </w:p>
    <w:p w14:paraId="265D2BD6" w14:textId="77777777" w:rsidR="009D2329" w:rsidRPr="00016281" w:rsidRDefault="009D2329" w:rsidP="009D2329">
      <w:pPr>
        <w:jc w:val="both"/>
        <w:rPr>
          <w:lang w:val="en-US"/>
        </w:rPr>
      </w:pPr>
      <w:r>
        <w:rPr>
          <w:rFonts w:ascii="Arial" w:hAnsi="Arial" w:cs="Arial"/>
          <w:color w:val="002060"/>
          <w:sz w:val="22"/>
          <w:szCs w:val="22"/>
          <w:lang w:val="en-US"/>
        </w:rPr>
        <w:t> </w:t>
      </w:r>
    </w:p>
    <w:p w14:paraId="5F677680" w14:textId="77777777" w:rsidR="009D2329" w:rsidRDefault="009D2329" w:rsidP="009D2329">
      <w:pPr>
        <w:jc w:val="both"/>
        <w:rPr>
          <w:rFonts w:ascii="Arial" w:hAnsi="Arial" w:cs="Arial"/>
          <w:color w:val="002060"/>
          <w:sz w:val="22"/>
          <w:szCs w:val="22"/>
          <w:lang w:val="en-US"/>
        </w:rPr>
      </w:pPr>
      <w:r>
        <w:rPr>
          <w:rFonts w:ascii="Arial" w:hAnsi="Arial" w:cs="Arial"/>
          <w:color w:val="002060"/>
          <w:sz w:val="22"/>
          <w:szCs w:val="22"/>
          <w:lang w:val="en-US"/>
        </w:rPr>
        <w:t xml:space="preserve">Finally, please note that from now, </w:t>
      </w:r>
      <w:r>
        <w:rPr>
          <w:rFonts w:ascii="Arial" w:hAnsi="Arial" w:cs="Arial"/>
          <w:color w:val="002060"/>
          <w:sz w:val="22"/>
          <w:szCs w:val="22"/>
          <w:highlight w:val="yellow"/>
          <w:lang w:val="en-US"/>
        </w:rPr>
        <w:t>all transfer requests for catering, speaker fees, reimbursement of travel and accommodation allowances or whatever other cost the partners have advanced will be accepted within one month after the end of the event in question</w:t>
      </w:r>
      <w:r>
        <w:rPr>
          <w:rFonts w:ascii="Arial" w:hAnsi="Arial" w:cs="Arial"/>
          <w:color w:val="002060"/>
          <w:sz w:val="22"/>
          <w:szCs w:val="22"/>
          <w:lang w:val="en-US"/>
        </w:rPr>
        <w:t xml:space="preserve">. In other words, all payments related to a training event need to close within one month, otherwise we cannot guarantee the transfer of EU funds. Please always respect this 1-month deadline to secure the EU funding and alleviate from us the administrative burden of going back sometimes 1 year or more to find missing transfer requests and payments, when closing the project’s budget. </w:t>
      </w:r>
    </w:p>
    <w:p w14:paraId="1F39EA76" w14:textId="77777777" w:rsidR="009D2329" w:rsidRPr="00016281" w:rsidRDefault="009D2329" w:rsidP="009D2329">
      <w:pPr>
        <w:jc w:val="both"/>
        <w:rPr>
          <w:rFonts w:ascii="Arial" w:hAnsi="Arial" w:cs="Arial"/>
          <w:color w:val="0B4284"/>
          <w:sz w:val="22"/>
          <w:szCs w:val="22"/>
          <w:lang w:val="en-US"/>
        </w:rPr>
      </w:pPr>
    </w:p>
    <w:p w14:paraId="0BE4822B" w14:textId="77777777" w:rsidR="009D2329" w:rsidRPr="00016281" w:rsidRDefault="009D2329" w:rsidP="009D2329">
      <w:pPr>
        <w:jc w:val="both"/>
        <w:rPr>
          <w:rFonts w:ascii="Arial" w:hAnsi="Arial" w:cs="Arial"/>
          <w:color w:val="002060"/>
          <w:sz w:val="22"/>
          <w:szCs w:val="22"/>
          <w:lang w:val="en-US"/>
        </w:rPr>
      </w:pPr>
      <w:r w:rsidRPr="00016281">
        <w:rPr>
          <w:rFonts w:ascii="Arial" w:hAnsi="Arial" w:cs="Arial"/>
          <w:color w:val="002060"/>
          <w:sz w:val="22"/>
          <w:szCs w:val="22"/>
          <w:lang w:val="en-US"/>
        </w:rPr>
        <w:t>For any questions you might have, please come back to us.</w:t>
      </w:r>
    </w:p>
    <w:p w14:paraId="5862622B" w14:textId="77777777" w:rsidR="009D2329" w:rsidRPr="00016281" w:rsidRDefault="009D2329" w:rsidP="009D2329">
      <w:pPr>
        <w:jc w:val="both"/>
        <w:rPr>
          <w:color w:val="002060"/>
          <w:lang w:val="en-US"/>
        </w:rPr>
      </w:pPr>
      <w:r>
        <w:rPr>
          <w:rFonts w:ascii="Arial" w:hAnsi="Arial" w:cs="Arial"/>
          <w:color w:val="002060"/>
          <w:sz w:val="22"/>
          <w:szCs w:val="22"/>
          <w:lang w:val="en-US"/>
        </w:rPr>
        <w:t> </w:t>
      </w:r>
    </w:p>
    <w:p w14:paraId="515CEE73" w14:textId="77777777" w:rsidR="009D2329" w:rsidRPr="00016281" w:rsidRDefault="009D2329" w:rsidP="009D2329">
      <w:pPr>
        <w:jc w:val="both"/>
        <w:rPr>
          <w:color w:val="002060"/>
          <w:lang w:val="en-US"/>
        </w:rPr>
      </w:pPr>
      <w:r>
        <w:rPr>
          <w:rFonts w:ascii="Arial" w:hAnsi="Arial" w:cs="Arial"/>
          <w:color w:val="002060"/>
          <w:sz w:val="22"/>
          <w:szCs w:val="22"/>
          <w:lang w:val="en-US"/>
        </w:rPr>
        <w:t>Kind regards,</w:t>
      </w:r>
    </w:p>
    <w:p w14:paraId="7534A204" w14:textId="77777777" w:rsidR="009D2329" w:rsidRPr="00016281" w:rsidRDefault="009D2329" w:rsidP="009D2329">
      <w:pPr>
        <w:rPr>
          <w:lang w:val="en-US"/>
        </w:rPr>
      </w:pPr>
      <w:r w:rsidRPr="00016281">
        <w:rPr>
          <w:rFonts w:ascii="Arial" w:hAnsi="Arial" w:cs="Arial"/>
          <w:color w:val="0B4284"/>
          <w:sz w:val="22"/>
          <w:szCs w:val="22"/>
          <w:lang w:val="en-US"/>
        </w:rPr>
        <w:t> </w:t>
      </w:r>
    </w:p>
    <w:p w14:paraId="7F387766" w14:textId="77777777" w:rsidR="009D2329" w:rsidRPr="00016281" w:rsidRDefault="009D2329" w:rsidP="009D2329">
      <w:pPr>
        <w:rPr>
          <w:lang w:val="en-US"/>
        </w:rPr>
      </w:pPr>
      <w:proofErr w:type="spellStart"/>
      <w:r>
        <w:rPr>
          <w:b/>
          <w:bCs/>
          <w:color w:val="0B4284"/>
          <w:sz w:val="22"/>
          <w:szCs w:val="22"/>
          <w:lang w:val="en-US"/>
        </w:rPr>
        <w:t>Vasileios</w:t>
      </w:r>
      <w:proofErr w:type="spellEnd"/>
      <w:r>
        <w:rPr>
          <w:b/>
          <w:bCs/>
          <w:color w:val="0B4284"/>
          <w:sz w:val="22"/>
          <w:szCs w:val="22"/>
          <w:lang w:val="en-US"/>
        </w:rPr>
        <w:t xml:space="preserve"> STATHOPOULOS</w:t>
      </w:r>
    </w:p>
    <w:p w14:paraId="34497F50" w14:textId="77777777" w:rsidR="009D2329" w:rsidRPr="00016281" w:rsidRDefault="009D2329" w:rsidP="009D2329">
      <w:pPr>
        <w:rPr>
          <w:lang w:val="en-US"/>
        </w:rPr>
      </w:pPr>
      <w:r>
        <w:rPr>
          <w:b/>
          <w:bCs/>
          <w:color w:val="0B4284"/>
          <w:sz w:val="22"/>
          <w:szCs w:val="22"/>
          <w:lang w:val="en-US"/>
        </w:rPr>
        <w:t>Project Manager</w:t>
      </w:r>
    </w:p>
    <w:p w14:paraId="02A5F243" w14:textId="77777777" w:rsidR="009D2329" w:rsidRPr="00016281" w:rsidRDefault="009D2329" w:rsidP="009D2329">
      <w:pPr>
        <w:rPr>
          <w:lang w:val="en-US"/>
        </w:rPr>
      </w:pPr>
      <w:r>
        <w:rPr>
          <w:b/>
          <w:bCs/>
          <w:color w:val="0B4284"/>
          <w:sz w:val="22"/>
          <w:szCs w:val="22"/>
          <w:lang w:val="en-US"/>
        </w:rPr>
        <w:t>European Lawyers Foundation</w:t>
      </w:r>
    </w:p>
    <w:p w14:paraId="334BB1C8" w14:textId="77777777" w:rsidR="009D2329" w:rsidRPr="00016281" w:rsidRDefault="009D2329" w:rsidP="009D2329">
      <w:pPr>
        <w:rPr>
          <w:lang w:val="en-US"/>
        </w:rPr>
      </w:pPr>
      <w:r>
        <w:rPr>
          <w:color w:val="0B4284"/>
          <w:sz w:val="22"/>
          <w:szCs w:val="22"/>
          <w:lang w:val="nl-NL"/>
        </w:rPr>
        <w:t>Fluwelen Burgwal 58, 2511 CJ – The Hague (The Netherlands)</w:t>
      </w:r>
    </w:p>
    <w:p w14:paraId="79F01D65" w14:textId="77777777" w:rsidR="009D2329" w:rsidRDefault="009D2329" w:rsidP="009D2329">
      <w:r>
        <w:rPr>
          <w:color w:val="0B4284"/>
          <w:sz w:val="22"/>
          <w:szCs w:val="22"/>
          <w:lang w:val="en-US"/>
        </w:rPr>
        <w:t>+30 6970935404</w:t>
      </w:r>
    </w:p>
    <w:p w14:paraId="0BA4B770" w14:textId="77777777" w:rsidR="009D2329" w:rsidRDefault="00016281" w:rsidP="009D2329">
      <w:hyperlink r:id="rId4" w:tooltip="http://www.elf-fae.eu/" w:history="1">
        <w:r w:rsidR="009D2329">
          <w:rPr>
            <w:rStyle w:val="-"/>
            <w:color w:val="DDBC54"/>
            <w:sz w:val="22"/>
            <w:szCs w:val="22"/>
            <w:lang w:val="en-US"/>
          </w:rPr>
          <w:t>www.elf-fae.eu</w:t>
        </w:r>
      </w:hyperlink>
    </w:p>
    <w:p w14:paraId="753494AB" w14:textId="77777777" w:rsidR="003653DE" w:rsidRDefault="003653DE"/>
    <w:sectPr w:rsidR="003653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8C"/>
    <w:rsid w:val="00016281"/>
    <w:rsid w:val="003653DE"/>
    <w:rsid w:val="0037788C"/>
    <w:rsid w:val="00392C00"/>
    <w:rsid w:val="006A67E0"/>
    <w:rsid w:val="009D23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A4D46-0DC8-4BD5-9F78-ABF9AF2F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29"/>
    <w:pPr>
      <w:spacing w:after="0" w:line="240" w:lineRule="auto"/>
    </w:pPr>
    <w:rPr>
      <w:rFonts w:ascii="Calibri" w:hAnsi="Calibri" w:cs="Calibri"/>
      <w:kern w:val="0"/>
      <w:sz w:val="20"/>
      <w:szCs w:val="20"/>
      <w:lang w:eastAsia="el-GR"/>
      <w14:ligatures w14:val="none"/>
    </w:rPr>
  </w:style>
  <w:style w:type="paragraph" w:styleId="1">
    <w:name w:val="heading 1"/>
    <w:basedOn w:val="a"/>
    <w:next w:val="a"/>
    <w:link w:val="1Char"/>
    <w:uiPriority w:val="9"/>
    <w:qFormat/>
    <w:rsid w:val="0037788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7788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37788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7788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7788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7788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7788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7788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7788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788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7788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7788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7788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7788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7788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7788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7788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7788C"/>
    <w:rPr>
      <w:rFonts w:eastAsiaTheme="majorEastAsia" w:cstheme="majorBidi"/>
      <w:color w:val="272727" w:themeColor="text1" w:themeTint="D8"/>
    </w:rPr>
  </w:style>
  <w:style w:type="paragraph" w:styleId="a3">
    <w:name w:val="Title"/>
    <w:basedOn w:val="a"/>
    <w:next w:val="a"/>
    <w:link w:val="Char"/>
    <w:uiPriority w:val="10"/>
    <w:qFormat/>
    <w:rsid w:val="0037788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778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7788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778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7788C"/>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7788C"/>
    <w:rPr>
      <w:i/>
      <w:iCs/>
      <w:color w:val="404040" w:themeColor="text1" w:themeTint="BF"/>
    </w:rPr>
  </w:style>
  <w:style w:type="paragraph" w:styleId="a6">
    <w:name w:val="List Paragraph"/>
    <w:basedOn w:val="a"/>
    <w:uiPriority w:val="34"/>
    <w:qFormat/>
    <w:rsid w:val="0037788C"/>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7">
    <w:name w:val="Intense Emphasis"/>
    <w:basedOn w:val="a0"/>
    <w:uiPriority w:val="21"/>
    <w:qFormat/>
    <w:rsid w:val="0037788C"/>
    <w:rPr>
      <w:i/>
      <w:iCs/>
      <w:color w:val="0F4761" w:themeColor="accent1" w:themeShade="BF"/>
    </w:rPr>
  </w:style>
  <w:style w:type="paragraph" w:styleId="a8">
    <w:name w:val="Intense Quote"/>
    <w:basedOn w:val="a"/>
    <w:next w:val="a"/>
    <w:link w:val="Char2"/>
    <w:uiPriority w:val="30"/>
    <w:qFormat/>
    <w:rsid w:val="0037788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7788C"/>
    <w:rPr>
      <w:i/>
      <w:iCs/>
      <w:color w:val="0F4761" w:themeColor="accent1" w:themeShade="BF"/>
    </w:rPr>
  </w:style>
  <w:style w:type="character" w:styleId="a9">
    <w:name w:val="Intense Reference"/>
    <w:basedOn w:val="a0"/>
    <w:uiPriority w:val="32"/>
    <w:qFormat/>
    <w:rsid w:val="0037788C"/>
    <w:rPr>
      <w:b/>
      <w:bCs/>
      <w:smallCaps/>
      <w:color w:val="0F4761" w:themeColor="accent1" w:themeShade="BF"/>
      <w:spacing w:val="5"/>
    </w:rPr>
  </w:style>
  <w:style w:type="character" w:styleId="-">
    <w:name w:val="Hyperlink"/>
    <w:basedOn w:val="a0"/>
    <w:uiPriority w:val="99"/>
    <w:semiHidden/>
    <w:unhideWhenUsed/>
    <w:rsid w:val="009D23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f-fae.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Τσίρη Αναστασία</dc:creator>
  <cp:keywords/>
  <dc:description/>
  <cp:lastModifiedBy>User</cp:lastModifiedBy>
  <cp:revision>2</cp:revision>
  <dcterms:created xsi:type="dcterms:W3CDTF">2024-07-30T16:29:00Z</dcterms:created>
  <dcterms:modified xsi:type="dcterms:W3CDTF">2024-07-30T16:29:00Z</dcterms:modified>
</cp:coreProperties>
</file>