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B6039" w14:textId="77777777" w:rsidR="00D94E44" w:rsidRPr="00FE2D7A" w:rsidRDefault="00D94E44" w:rsidP="00D94E44">
      <w:pPr>
        <w:pStyle w:val="Web"/>
        <w:shd w:val="clear" w:color="auto" w:fill="FFFFFF"/>
        <w:spacing w:before="0" w:beforeAutospacing="0" w:after="0" w:afterAutospacing="0" w:line="360" w:lineRule="auto"/>
        <w:rPr>
          <w:rFonts w:ascii="Verdana" w:hAnsi="Verdana" w:cs="Helvetica"/>
          <w:b/>
          <w:color w:val="1D2228"/>
          <w:sz w:val="22"/>
          <w:szCs w:val="22"/>
        </w:rPr>
      </w:pPr>
      <w:bookmarkStart w:id="0" w:name="_GoBack"/>
      <w:r>
        <w:rPr>
          <w:rFonts w:ascii="Verdana" w:hAnsi="Verdana" w:cs="Helvetica"/>
          <w:b/>
          <w:color w:val="1D2228"/>
          <w:sz w:val="22"/>
          <w:szCs w:val="22"/>
          <w:lang w:val="en-US"/>
        </w:rPr>
        <w:t>CCBE</w:t>
      </w:r>
      <w:r w:rsidRPr="00BF5D12">
        <w:rPr>
          <w:rFonts w:ascii="Verdana" w:hAnsi="Verdana" w:cs="Helvetica"/>
          <w:b/>
          <w:color w:val="1D2228"/>
          <w:sz w:val="22"/>
          <w:szCs w:val="22"/>
        </w:rPr>
        <w:t xml:space="preserve">, </w:t>
      </w:r>
      <w:r>
        <w:rPr>
          <w:rFonts w:ascii="Verdana" w:hAnsi="Verdana" w:cs="Helvetica"/>
          <w:b/>
          <w:color w:val="1D2228"/>
          <w:sz w:val="22"/>
          <w:szCs w:val="22"/>
        </w:rPr>
        <w:t>Βιέννη 19.02.2020</w:t>
      </w:r>
    </w:p>
    <w:p w14:paraId="22B76332" w14:textId="39BD8BF2" w:rsidR="00D94E44" w:rsidRPr="00FE2D7A" w:rsidRDefault="002C6FB8" w:rsidP="00D94E44">
      <w:pPr>
        <w:pStyle w:val="Web"/>
        <w:shd w:val="clear" w:color="auto" w:fill="FFFFFF"/>
        <w:spacing w:before="0" w:beforeAutospacing="0" w:after="0" w:afterAutospacing="0" w:line="360" w:lineRule="auto"/>
        <w:rPr>
          <w:rFonts w:ascii="Verdana" w:hAnsi="Verdana" w:cs="Helvetica"/>
          <w:b/>
          <w:color w:val="1D2228"/>
          <w:sz w:val="22"/>
          <w:szCs w:val="22"/>
        </w:rPr>
      </w:pPr>
      <w:r>
        <w:rPr>
          <w:rFonts w:ascii="Verdana" w:hAnsi="Verdana" w:cs="Helvetica"/>
          <w:b/>
          <w:color w:val="1D2228"/>
          <w:sz w:val="22"/>
          <w:szCs w:val="22"/>
        </w:rPr>
        <w:t>ΟΜΑΔΑ ΕΡΓΑΣΙΑΣ ΓΙΑ ΤΗΝ ΠΟΙΟΤΗΤΑ ΤΩΝ ΔΙΚΗΓΟΡΙΚΩΝ ΥΠΗΡΕΣΙΩΝ</w:t>
      </w:r>
    </w:p>
    <w:bookmarkEnd w:id="0"/>
    <w:p w14:paraId="7447E813" w14:textId="196ACF08" w:rsidR="00D94E44" w:rsidRPr="005B5E78" w:rsidRDefault="00D94E44" w:rsidP="002C6FB8">
      <w:pPr>
        <w:spacing w:after="240" w:line="360" w:lineRule="auto"/>
        <w:rPr>
          <w:rFonts w:ascii="Verdana" w:hAnsi="Verdana"/>
          <w:b/>
        </w:rPr>
      </w:pPr>
      <w:r w:rsidRPr="005B5E78">
        <w:rPr>
          <w:rFonts w:ascii="Verdana" w:hAnsi="Verdana"/>
          <w:b/>
        </w:rPr>
        <w:t xml:space="preserve">Για την ελληνική αντιπροσωπεία: Μαρία </w:t>
      </w:r>
      <w:proofErr w:type="spellStart"/>
      <w:r w:rsidRPr="005B5E78">
        <w:rPr>
          <w:rFonts w:ascii="Verdana" w:hAnsi="Verdana"/>
          <w:b/>
        </w:rPr>
        <w:t>Σταματογιάννη</w:t>
      </w:r>
      <w:proofErr w:type="spellEnd"/>
      <w:r w:rsidRPr="005B5E78">
        <w:rPr>
          <w:rFonts w:ascii="Verdana" w:hAnsi="Verdana"/>
          <w:b/>
        </w:rPr>
        <w:t xml:space="preserve"> (ΔΣΠ)</w:t>
      </w:r>
    </w:p>
    <w:p w14:paraId="7C3AAE13" w14:textId="372001C5" w:rsidR="00947F7D" w:rsidRPr="00D94E44" w:rsidRDefault="00947F7D" w:rsidP="00D94E44">
      <w:pPr>
        <w:spacing w:after="240" w:line="360" w:lineRule="auto"/>
        <w:jc w:val="both"/>
        <w:rPr>
          <w:rFonts w:ascii="Verdana" w:hAnsi="Verdana" w:cs="Arial"/>
        </w:rPr>
      </w:pPr>
      <w:r w:rsidRPr="00D94E44">
        <w:rPr>
          <w:rFonts w:ascii="Verdana" w:hAnsi="Verdana" w:cs="Arial"/>
        </w:rPr>
        <w:t>Συνοπτικά, τα σημαντικότερα σημεία της συνεδρίασης , ή</w:t>
      </w:r>
      <w:r w:rsidR="001652D5" w:rsidRPr="00D94E44">
        <w:rPr>
          <w:rFonts w:ascii="Verdana" w:hAnsi="Verdana" w:cs="Arial"/>
        </w:rPr>
        <w:t>τ</w:t>
      </w:r>
      <w:r w:rsidRPr="00D94E44">
        <w:rPr>
          <w:rFonts w:ascii="Verdana" w:hAnsi="Verdana" w:cs="Arial"/>
        </w:rPr>
        <w:t>αν τα ακόλουθα :</w:t>
      </w:r>
    </w:p>
    <w:p w14:paraId="66595CA4" w14:textId="6FDD5219" w:rsidR="00F661A1" w:rsidRPr="00D94E44" w:rsidRDefault="002C6FB8" w:rsidP="00D94E44">
      <w:pPr>
        <w:spacing w:after="240" w:line="360" w:lineRule="auto"/>
        <w:jc w:val="both"/>
        <w:rPr>
          <w:rFonts w:ascii="Verdana" w:hAnsi="Verdana"/>
        </w:rPr>
      </w:pPr>
      <w:r>
        <w:rPr>
          <w:rFonts w:ascii="Verdana" w:hAnsi="Verdana"/>
        </w:rPr>
        <w:t xml:space="preserve">1.- </w:t>
      </w:r>
      <w:r w:rsidR="00947F7D" w:rsidRPr="00D94E44">
        <w:rPr>
          <w:rFonts w:ascii="Verdana" w:hAnsi="Verdana"/>
        </w:rPr>
        <w:t xml:space="preserve">Έγινε ο απολογισμός </w:t>
      </w:r>
      <w:r w:rsidR="009D001F" w:rsidRPr="00D94E44">
        <w:rPr>
          <w:rFonts w:ascii="Verdana" w:hAnsi="Verdana"/>
        </w:rPr>
        <w:t xml:space="preserve">του συνεδρίου που </w:t>
      </w:r>
      <w:r w:rsidR="00667828">
        <w:rPr>
          <w:rFonts w:ascii="Verdana" w:hAnsi="Verdana"/>
        </w:rPr>
        <w:t>συν</w:t>
      </w:r>
      <w:r w:rsidR="009D001F" w:rsidRPr="00D94E44">
        <w:rPr>
          <w:rFonts w:ascii="Verdana" w:hAnsi="Verdana"/>
        </w:rPr>
        <w:t xml:space="preserve">διοργάνωσε </w:t>
      </w:r>
      <w:r w:rsidR="00667828">
        <w:rPr>
          <w:rFonts w:ascii="Verdana" w:hAnsi="Verdana"/>
        </w:rPr>
        <w:t>το</w:t>
      </w:r>
      <w:r w:rsidR="009D001F" w:rsidRPr="00D94E44">
        <w:rPr>
          <w:rFonts w:ascii="Verdana" w:hAnsi="Verdana"/>
        </w:rPr>
        <w:t xml:space="preserve"> </w:t>
      </w:r>
      <w:r w:rsidR="009D001F" w:rsidRPr="00D94E44">
        <w:rPr>
          <w:rFonts w:ascii="Verdana" w:hAnsi="Verdana"/>
          <w:lang w:val="en-US"/>
        </w:rPr>
        <w:t>CCBE</w:t>
      </w:r>
      <w:r w:rsidR="009D001F" w:rsidRPr="00D94E44">
        <w:rPr>
          <w:rFonts w:ascii="Verdana" w:hAnsi="Verdana"/>
        </w:rPr>
        <w:t xml:space="preserve"> </w:t>
      </w:r>
      <w:r w:rsidR="00F45AFB">
        <w:rPr>
          <w:rFonts w:ascii="Verdana" w:hAnsi="Verdana"/>
        </w:rPr>
        <w:t xml:space="preserve">από κοινού </w:t>
      </w:r>
      <w:r w:rsidR="009D001F" w:rsidRPr="00D94E44">
        <w:rPr>
          <w:rFonts w:ascii="Verdana" w:hAnsi="Verdana"/>
        </w:rPr>
        <w:t xml:space="preserve">με την </w:t>
      </w:r>
      <w:r w:rsidR="00667828">
        <w:rPr>
          <w:rFonts w:ascii="Verdana" w:hAnsi="Verdana"/>
        </w:rPr>
        <w:t>Ο</w:t>
      </w:r>
      <w:r w:rsidR="009D001F" w:rsidRPr="00D94E44">
        <w:rPr>
          <w:rFonts w:ascii="Verdana" w:hAnsi="Verdana"/>
        </w:rPr>
        <w:t xml:space="preserve">μοσπονδία </w:t>
      </w:r>
      <w:r w:rsidR="00667828">
        <w:rPr>
          <w:rFonts w:ascii="Verdana" w:hAnsi="Verdana"/>
        </w:rPr>
        <w:t>Δ</w:t>
      </w:r>
      <w:r w:rsidR="009D001F" w:rsidRPr="00D94E44">
        <w:rPr>
          <w:rFonts w:ascii="Verdana" w:hAnsi="Verdana"/>
        </w:rPr>
        <w:t xml:space="preserve">ικηγορικών </w:t>
      </w:r>
      <w:r w:rsidR="00667828">
        <w:rPr>
          <w:rFonts w:ascii="Verdana" w:hAnsi="Verdana"/>
        </w:rPr>
        <w:t>Σ</w:t>
      </w:r>
      <w:r w:rsidR="009D001F" w:rsidRPr="00D94E44">
        <w:rPr>
          <w:rFonts w:ascii="Verdana" w:hAnsi="Verdana"/>
        </w:rPr>
        <w:t>υλλόγων στη Λισαβόνα στις 25.10.20</w:t>
      </w:r>
      <w:r w:rsidR="00F45AFB">
        <w:rPr>
          <w:rFonts w:ascii="Verdana" w:hAnsi="Verdana"/>
        </w:rPr>
        <w:t>19</w:t>
      </w:r>
      <w:r w:rsidR="00C218E4" w:rsidRPr="00D94E44">
        <w:rPr>
          <w:rFonts w:ascii="Verdana" w:hAnsi="Verdana"/>
        </w:rPr>
        <w:t xml:space="preserve"> με θέμα την Αυτορρύθμιση και Διαπίστευση Ποιότητας στη Δικηγορία</w:t>
      </w:r>
      <w:r w:rsidR="009D001F" w:rsidRPr="00D94E44">
        <w:rPr>
          <w:rFonts w:ascii="Verdana" w:hAnsi="Verdana"/>
        </w:rPr>
        <w:t>. Συγκεκριμένα διαπιστώθηκε ότι</w:t>
      </w:r>
      <w:r w:rsidR="00947F7D" w:rsidRPr="00D94E44">
        <w:rPr>
          <w:rFonts w:ascii="Verdana" w:hAnsi="Verdana"/>
        </w:rPr>
        <w:t xml:space="preserve">: </w:t>
      </w:r>
    </w:p>
    <w:p w14:paraId="0387BB0A" w14:textId="1CE7C60E" w:rsidR="00F661A1" w:rsidRPr="00D94E44" w:rsidRDefault="00947F7D" w:rsidP="00D94E44">
      <w:pPr>
        <w:spacing w:after="240" w:line="360" w:lineRule="auto"/>
        <w:jc w:val="both"/>
        <w:rPr>
          <w:rFonts w:ascii="Verdana" w:hAnsi="Verdana"/>
        </w:rPr>
      </w:pPr>
      <w:r w:rsidRPr="00D94E44">
        <w:rPr>
          <w:rFonts w:ascii="Verdana" w:hAnsi="Verdana"/>
        </w:rPr>
        <w:t>(α)</w:t>
      </w:r>
      <w:r w:rsidR="009D001F" w:rsidRPr="00D94E44">
        <w:rPr>
          <w:rFonts w:ascii="Verdana" w:hAnsi="Verdana"/>
        </w:rPr>
        <w:t xml:space="preserve"> </w:t>
      </w:r>
      <w:r w:rsidR="00DD3FEB">
        <w:rPr>
          <w:rFonts w:ascii="Verdana" w:hAnsi="Verdana"/>
        </w:rPr>
        <w:t>Γι</w:t>
      </w:r>
      <w:r w:rsidR="009D001F" w:rsidRPr="00D94E44">
        <w:rPr>
          <w:rFonts w:ascii="Verdana" w:hAnsi="Verdana"/>
        </w:rPr>
        <w:t xml:space="preserve">α τον έλεγχο αναλογικότητας των περιορισμών στην </w:t>
      </w:r>
      <w:r w:rsidR="008419A7">
        <w:rPr>
          <w:rFonts w:ascii="Verdana" w:hAnsi="Verdana"/>
        </w:rPr>
        <w:t>πρόσβαση</w:t>
      </w:r>
      <w:r w:rsidR="009D001F" w:rsidRPr="00D94E44">
        <w:rPr>
          <w:rFonts w:ascii="Verdana" w:hAnsi="Verdana"/>
        </w:rPr>
        <w:t xml:space="preserve"> στο επάγγελμα (</w:t>
      </w:r>
      <w:r w:rsidR="009D001F" w:rsidRPr="00667828">
        <w:rPr>
          <w:rFonts w:ascii="Verdana" w:hAnsi="Verdana"/>
        </w:rPr>
        <w:t>Οδηγία</w:t>
      </w:r>
      <w:r w:rsidR="00667828">
        <w:rPr>
          <w:rFonts w:ascii="Verdana" w:hAnsi="Verdana"/>
        </w:rPr>
        <w:t xml:space="preserve"> </w:t>
      </w:r>
      <w:hyperlink r:id="rId5" w:history="1">
        <w:r w:rsidR="00667828" w:rsidRPr="00667828">
          <w:rPr>
            <w:rStyle w:val="-"/>
            <w:rFonts w:ascii="Verdana" w:hAnsi="Verdana"/>
          </w:rPr>
          <w:t>(ΕΕ)2018/958</w:t>
        </w:r>
      </w:hyperlink>
      <w:r w:rsidR="009D001F" w:rsidRPr="00D94E44">
        <w:rPr>
          <w:rFonts w:ascii="Verdana" w:hAnsi="Verdana"/>
        </w:rPr>
        <w:t>) θα πρέπει να προσδιορίζ</w:t>
      </w:r>
      <w:r w:rsidR="00F45AFB">
        <w:rPr>
          <w:rFonts w:ascii="Verdana" w:hAnsi="Verdana"/>
        </w:rPr>
        <w:t xml:space="preserve">εται </w:t>
      </w:r>
      <w:r w:rsidR="009D001F" w:rsidRPr="00D94E44">
        <w:rPr>
          <w:rFonts w:ascii="Verdana" w:hAnsi="Verdana"/>
        </w:rPr>
        <w:t xml:space="preserve">ο </w:t>
      </w:r>
      <w:r w:rsidR="00F45AFB">
        <w:rPr>
          <w:rFonts w:ascii="Verdana" w:hAnsi="Verdana"/>
        </w:rPr>
        <w:t xml:space="preserve">επιδιωκόμενος </w:t>
      </w:r>
      <w:r w:rsidR="009D001F" w:rsidRPr="00D94E44">
        <w:rPr>
          <w:rFonts w:ascii="Verdana" w:hAnsi="Verdana"/>
        </w:rPr>
        <w:t>σκοπό</w:t>
      </w:r>
      <w:r w:rsidR="00F45AFB">
        <w:rPr>
          <w:rFonts w:ascii="Verdana" w:hAnsi="Verdana"/>
        </w:rPr>
        <w:t>ς</w:t>
      </w:r>
      <w:r w:rsidR="009D001F" w:rsidRPr="00D94E44">
        <w:rPr>
          <w:rFonts w:ascii="Verdana" w:hAnsi="Verdana"/>
        </w:rPr>
        <w:t xml:space="preserve"> δημοσίου συμφέροντος, να </w:t>
      </w:r>
      <w:r w:rsidR="00F45AFB">
        <w:rPr>
          <w:rFonts w:ascii="Verdana" w:hAnsi="Verdana"/>
        </w:rPr>
        <w:t xml:space="preserve">υπάρχει εμπεριστατωμένη αιτιολογία </w:t>
      </w:r>
      <w:r w:rsidR="00C218E4" w:rsidRPr="00D94E44">
        <w:rPr>
          <w:rFonts w:ascii="Verdana" w:hAnsi="Verdana"/>
        </w:rPr>
        <w:t xml:space="preserve">με ποιο τρόπο </w:t>
      </w:r>
      <w:r w:rsidR="009D001F" w:rsidRPr="00D94E44">
        <w:rPr>
          <w:rFonts w:ascii="Verdana" w:hAnsi="Verdana"/>
        </w:rPr>
        <w:t>ο σκοπός αυτός εξυπηρετείται, και να αποδεικνύ</w:t>
      </w:r>
      <w:r w:rsidR="00F45AFB">
        <w:rPr>
          <w:rFonts w:ascii="Verdana" w:hAnsi="Verdana"/>
        </w:rPr>
        <w:t xml:space="preserve">εται η </w:t>
      </w:r>
      <w:r w:rsidR="009D001F" w:rsidRPr="00D94E44">
        <w:rPr>
          <w:rFonts w:ascii="Verdana" w:hAnsi="Verdana"/>
        </w:rPr>
        <w:t>διακινδύνευση του δημοσίου συμφέροντος</w:t>
      </w:r>
      <w:r w:rsidRPr="00D94E44">
        <w:rPr>
          <w:rFonts w:ascii="Verdana" w:hAnsi="Verdana"/>
        </w:rPr>
        <w:t xml:space="preserve">. </w:t>
      </w:r>
    </w:p>
    <w:p w14:paraId="571792B7" w14:textId="60B992DE" w:rsidR="00C25561" w:rsidRPr="00D94E44" w:rsidRDefault="00947F7D" w:rsidP="00D94E44">
      <w:pPr>
        <w:spacing w:after="240" w:line="360" w:lineRule="auto"/>
        <w:jc w:val="both"/>
        <w:rPr>
          <w:rFonts w:ascii="Verdana" w:hAnsi="Verdana"/>
        </w:rPr>
      </w:pPr>
      <w:r w:rsidRPr="00D94E44">
        <w:rPr>
          <w:rFonts w:ascii="Verdana" w:hAnsi="Verdana"/>
        </w:rPr>
        <w:t xml:space="preserve">(β) </w:t>
      </w:r>
      <w:r w:rsidR="00DD3FEB">
        <w:rPr>
          <w:rFonts w:ascii="Verdana" w:hAnsi="Verdana"/>
        </w:rPr>
        <w:t>Στ</w:t>
      </w:r>
      <w:r w:rsidRPr="00D94E44">
        <w:rPr>
          <w:rFonts w:ascii="Verdana" w:hAnsi="Verdana"/>
        </w:rPr>
        <w:t xml:space="preserve">ον πυρήνα της ποιότητας των νομικών υπηρεσιών βρίσκεται η απόκτηση και πιστοποίηση των γνώσεων, δεξιοτήτων, τεχνογνωσίας, σεβασμού των διαδικασιών και των προθεσμιών, καθώς και </w:t>
      </w:r>
      <w:r w:rsidR="00F661A1" w:rsidRPr="00D94E44">
        <w:rPr>
          <w:rFonts w:ascii="Verdana" w:hAnsi="Verdana"/>
        </w:rPr>
        <w:t>η τήρηση των αρχών δεοντολογίας της δικηγορίας.</w:t>
      </w:r>
    </w:p>
    <w:p w14:paraId="380B1076" w14:textId="1A054FEC" w:rsidR="002F5694" w:rsidRPr="00D94E44" w:rsidRDefault="00F661A1" w:rsidP="00D94E44">
      <w:pPr>
        <w:spacing w:after="240" w:line="360" w:lineRule="auto"/>
        <w:jc w:val="both"/>
        <w:rPr>
          <w:rFonts w:ascii="Verdana" w:hAnsi="Verdana"/>
        </w:rPr>
      </w:pPr>
      <w:r w:rsidRPr="00D94E44">
        <w:rPr>
          <w:rFonts w:ascii="Verdana" w:hAnsi="Verdana"/>
        </w:rPr>
        <w:t xml:space="preserve">(γ) </w:t>
      </w:r>
      <w:r w:rsidR="00DD3FEB">
        <w:rPr>
          <w:rFonts w:ascii="Verdana" w:hAnsi="Verdana"/>
        </w:rPr>
        <w:t>Η</w:t>
      </w:r>
      <w:r w:rsidRPr="00D94E44">
        <w:rPr>
          <w:rFonts w:ascii="Verdana" w:hAnsi="Verdana"/>
        </w:rPr>
        <w:t xml:space="preserve"> αυτορρύθμιση του δικηγορικού επαγγέλματος </w:t>
      </w:r>
      <w:r w:rsidR="00D571C8">
        <w:rPr>
          <w:rFonts w:ascii="Verdana" w:hAnsi="Verdana"/>
        </w:rPr>
        <w:t>αποτελεί</w:t>
      </w:r>
      <w:r w:rsidRPr="00D94E44">
        <w:rPr>
          <w:rFonts w:ascii="Verdana" w:hAnsi="Verdana"/>
        </w:rPr>
        <w:t xml:space="preserve"> σταθερ</w:t>
      </w:r>
      <w:r w:rsidR="002F5694" w:rsidRPr="00D94E44">
        <w:rPr>
          <w:rFonts w:ascii="Verdana" w:hAnsi="Verdana"/>
        </w:rPr>
        <w:t>ό δείκτη της ποιότητας παροχής των νομικών υπηρεσιών</w:t>
      </w:r>
      <w:r w:rsidR="00DD3FEB">
        <w:rPr>
          <w:rFonts w:ascii="Verdana" w:hAnsi="Verdana"/>
        </w:rPr>
        <w:t>.</w:t>
      </w:r>
    </w:p>
    <w:p w14:paraId="2F286BDE" w14:textId="0D06B4EB" w:rsidR="00F661A1" w:rsidRPr="00D94E44" w:rsidRDefault="002F5694" w:rsidP="00D94E44">
      <w:pPr>
        <w:spacing w:after="240" w:line="360" w:lineRule="auto"/>
        <w:jc w:val="both"/>
        <w:rPr>
          <w:rFonts w:ascii="Verdana" w:hAnsi="Verdana"/>
        </w:rPr>
      </w:pPr>
      <w:r w:rsidRPr="00D94E44">
        <w:rPr>
          <w:rFonts w:ascii="Verdana" w:hAnsi="Verdana"/>
        </w:rPr>
        <w:t xml:space="preserve">(δ) </w:t>
      </w:r>
      <w:r w:rsidR="00DD3FEB">
        <w:rPr>
          <w:rFonts w:ascii="Verdana" w:hAnsi="Verdana"/>
        </w:rPr>
        <w:t>Ο</w:t>
      </w:r>
      <w:r w:rsidRPr="00D94E44">
        <w:rPr>
          <w:rFonts w:ascii="Verdana" w:hAnsi="Verdana"/>
        </w:rPr>
        <w:t xml:space="preserve">ι δικηγορικοί σύλλογοι θα μπορούσαν να αναλάβουν δύο σημαντικές αποστολές: (ι) να </w:t>
      </w:r>
      <w:r w:rsidR="00D571C8">
        <w:rPr>
          <w:rFonts w:ascii="Verdana" w:hAnsi="Verdana"/>
        </w:rPr>
        <w:t xml:space="preserve">ενισχύσουν το ρόλο των συλλόγων επιδιώκοντας την βελτίωση της ποιότητας στην παροχή των νομικών υπηρεσιών </w:t>
      </w:r>
      <w:r w:rsidRPr="00D94E44">
        <w:rPr>
          <w:rFonts w:ascii="Verdana" w:hAnsi="Verdana"/>
        </w:rPr>
        <w:t>και (</w:t>
      </w:r>
      <w:proofErr w:type="spellStart"/>
      <w:r w:rsidRPr="00D94E44">
        <w:rPr>
          <w:rFonts w:ascii="Verdana" w:hAnsi="Verdana"/>
        </w:rPr>
        <w:t>ιι</w:t>
      </w:r>
      <w:proofErr w:type="spellEnd"/>
      <w:r w:rsidRPr="00D94E44">
        <w:rPr>
          <w:rFonts w:ascii="Verdana" w:hAnsi="Verdana"/>
        </w:rPr>
        <w:t xml:space="preserve">) να διασφαλίσουν ότι </w:t>
      </w:r>
      <w:r w:rsidR="00D571C8">
        <w:rPr>
          <w:rFonts w:ascii="Verdana" w:hAnsi="Verdana"/>
        </w:rPr>
        <w:t xml:space="preserve">δια της </w:t>
      </w:r>
      <w:r w:rsidRPr="00D94E44">
        <w:rPr>
          <w:rFonts w:ascii="Verdana" w:hAnsi="Verdana"/>
        </w:rPr>
        <w:t>αυτορρύθμιση</w:t>
      </w:r>
      <w:r w:rsidR="00D571C8">
        <w:rPr>
          <w:rFonts w:ascii="Verdana" w:hAnsi="Verdana"/>
        </w:rPr>
        <w:t>ς</w:t>
      </w:r>
      <w:r w:rsidRPr="00D94E44">
        <w:rPr>
          <w:rFonts w:ascii="Verdana" w:hAnsi="Verdana"/>
        </w:rPr>
        <w:t xml:space="preserve"> υποστηρίζε</w:t>
      </w:r>
      <w:r w:rsidR="00D571C8">
        <w:rPr>
          <w:rFonts w:ascii="Verdana" w:hAnsi="Verdana"/>
        </w:rPr>
        <w:t>τα</w:t>
      </w:r>
      <w:r w:rsidRPr="00D94E44">
        <w:rPr>
          <w:rFonts w:ascii="Verdana" w:hAnsi="Verdana"/>
        </w:rPr>
        <w:t xml:space="preserve">ι </w:t>
      </w:r>
      <w:r w:rsidR="00D571C8">
        <w:rPr>
          <w:rFonts w:ascii="Verdana" w:hAnsi="Verdana"/>
        </w:rPr>
        <w:t xml:space="preserve">η </w:t>
      </w:r>
      <w:r w:rsidRPr="00D94E44">
        <w:rPr>
          <w:rFonts w:ascii="Verdana" w:hAnsi="Verdana"/>
        </w:rPr>
        <w:t>ανάπτυξη κριτηρίων και τεχνικών πιστοποίησης και περιοδικών ελέγχων αυτής (</w:t>
      </w:r>
      <w:proofErr w:type="spellStart"/>
      <w:r w:rsidRPr="00D94E44">
        <w:rPr>
          <w:rFonts w:ascii="Verdana" w:hAnsi="Verdana"/>
        </w:rPr>
        <w:t>επικαιροποίηση</w:t>
      </w:r>
      <w:proofErr w:type="spellEnd"/>
      <w:r w:rsidRPr="00D94E44">
        <w:rPr>
          <w:rFonts w:ascii="Verdana" w:hAnsi="Verdana"/>
        </w:rPr>
        <w:t>)</w:t>
      </w:r>
      <w:r w:rsidR="00C218E4" w:rsidRPr="00D94E44">
        <w:rPr>
          <w:rFonts w:ascii="Verdana" w:hAnsi="Verdana"/>
        </w:rPr>
        <w:t xml:space="preserve">. </w:t>
      </w:r>
    </w:p>
    <w:p w14:paraId="7ED7AE92" w14:textId="3D3861A2" w:rsidR="00C218E4" w:rsidRPr="00D94E44" w:rsidRDefault="00C218E4" w:rsidP="00D94E44">
      <w:pPr>
        <w:spacing w:after="240" w:line="360" w:lineRule="auto"/>
        <w:jc w:val="both"/>
        <w:rPr>
          <w:rFonts w:ascii="Verdana" w:hAnsi="Verdana"/>
        </w:rPr>
      </w:pPr>
      <w:r w:rsidRPr="00D94E44">
        <w:rPr>
          <w:rFonts w:ascii="Verdana" w:hAnsi="Verdana"/>
        </w:rPr>
        <w:t>Έτσι</w:t>
      </w:r>
      <w:r w:rsidR="00DD3FEB">
        <w:rPr>
          <w:rFonts w:ascii="Verdana" w:hAnsi="Verdana"/>
        </w:rPr>
        <w:t>,</w:t>
      </w:r>
      <w:r w:rsidRPr="00D94E44">
        <w:rPr>
          <w:rFonts w:ascii="Verdana" w:hAnsi="Verdana"/>
        </w:rPr>
        <w:t xml:space="preserve"> οι δικηγορικοί σύλλογοι θα </w:t>
      </w:r>
      <w:r w:rsidR="00DD3FEB">
        <w:rPr>
          <w:rFonts w:ascii="Verdana" w:hAnsi="Verdana"/>
        </w:rPr>
        <w:t xml:space="preserve">μπορέσουν να </w:t>
      </w:r>
      <w:r w:rsidR="00C055E5">
        <w:rPr>
          <w:rFonts w:ascii="Verdana" w:hAnsi="Verdana"/>
        </w:rPr>
        <w:t>υποστηρίξουν</w:t>
      </w:r>
      <w:r w:rsidR="00DD3FEB">
        <w:rPr>
          <w:rFonts w:ascii="Verdana" w:hAnsi="Verdana"/>
        </w:rPr>
        <w:t xml:space="preserve"> τα </w:t>
      </w:r>
      <w:r w:rsidRPr="00D94E44">
        <w:rPr>
          <w:rFonts w:ascii="Verdana" w:hAnsi="Verdana"/>
        </w:rPr>
        <w:t xml:space="preserve">μέλη τους </w:t>
      </w:r>
      <w:r w:rsidR="00C055E5">
        <w:rPr>
          <w:rFonts w:ascii="Verdana" w:hAnsi="Verdana"/>
        </w:rPr>
        <w:t xml:space="preserve">στην παροχή ανεξάρτητων και πιστοποιημένων νομικών συμβουλών </w:t>
      </w:r>
      <w:r w:rsidRPr="00D94E44">
        <w:rPr>
          <w:rFonts w:ascii="Verdana" w:hAnsi="Verdana"/>
        </w:rPr>
        <w:t xml:space="preserve">για την προάσπιση των συμφερόντων των εντολέων τους και ως εκ τούτου να </w:t>
      </w:r>
      <w:r w:rsidRPr="00D94E44">
        <w:rPr>
          <w:rFonts w:ascii="Verdana" w:hAnsi="Verdana"/>
        </w:rPr>
        <w:lastRenderedPageBreak/>
        <w:t>προάγουν το κράτος δικαίου και να γίνουν εγγυητές της αποτελεσματικής πρόσβασης στη δικαιοσύνη για τους πολίτες.</w:t>
      </w:r>
    </w:p>
    <w:p w14:paraId="1B23A6C4" w14:textId="0AD84AA4" w:rsidR="0096083F" w:rsidRPr="00D94E44" w:rsidRDefault="0096083F" w:rsidP="00D94E44">
      <w:pPr>
        <w:spacing w:after="240" w:line="360" w:lineRule="auto"/>
        <w:jc w:val="both"/>
        <w:rPr>
          <w:rFonts w:ascii="Verdana" w:hAnsi="Verdana"/>
        </w:rPr>
      </w:pPr>
      <w:r w:rsidRPr="00D94E44">
        <w:rPr>
          <w:rFonts w:ascii="Verdana" w:hAnsi="Verdana"/>
        </w:rPr>
        <w:t xml:space="preserve">2.- Στη συνέχεια συζητήθηκε η διεξαγόμενη </w:t>
      </w:r>
      <w:hyperlink r:id="rId6" w:history="1">
        <w:r w:rsidRPr="00D94E44">
          <w:rPr>
            <w:rStyle w:val="-"/>
            <w:rFonts w:ascii="Verdana" w:hAnsi="Verdana"/>
          </w:rPr>
          <w:t>έρευνα</w:t>
        </w:r>
      </w:hyperlink>
      <w:r w:rsidRPr="00D94E44">
        <w:rPr>
          <w:rFonts w:ascii="Verdana" w:hAnsi="Verdana"/>
        </w:rPr>
        <w:t xml:space="preserve"> το</w:t>
      </w:r>
      <w:r w:rsidR="00550F78" w:rsidRPr="00D94E44">
        <w:rPr>
          <w:rFonts w:ascii="Verdana" w:hAnsi="Verdana"/>
        </w:rPr>
        <w:t>υ</w:t>
      </w:r>
      <w:r w:rsidRPr="00D94E44">
        <w:rPr>
          <w:rFonts w:ascii="Verdana" w:hAnsi="Verdana"/>
        </w:rPr>
        <w:t xml:space="preserve"> Συμβο</w:t>
      </w:r>
      <w:r w:rsidR="00550F78" w:rsidRPr="00D94E44">
        <w:rPr>
          <w:rFonts w:ascii="Verdana" w:hAnsi="Verdana"/>
        </w:rPr>
        <w:t xml:space="preserve">υλίου </w:t>
      </w:r>
      <w:r w:rsidRPr="00D94E44">
        <w:rPr>
          <w:rFonts w:ascii="Verdana" w:hAnsi="Verdana"/>
        </w:rPr>
        <w:t>Νομικών Υπηρεσιών του ΗΒ (</w:t>
      </w:r>
      <w:r w:rsidRPr="00D94E44">
        <w:rPr>
          <w:rFonts w:ascii="Verdana" w:hAnsi="Verdana"/>
          <w:lang w:val="en-US"/>
        </w:rPr>
        <w:t>Legal</w:t>
      </w:r>
      <w:r w:rsidRPr="00D94E44">
        <w:rPr>
          <w:rFonts w:ascii="Verdana" w:hAnsi="Verdana"/>
        </w:rPr>
        <w:t xml:space="preserve"> </w:t>
      </w:r>
      <w:r w:rsidRPr="00D94E44">
        <w:rPr>
          <w:rFonts w:ascii="Verdana" w:hAnsi="Verdana"/>
          <w:lang w:val="en-US"/>
        </w:rPr>
        <w:t>Services</w:t>
      </w:r>
      <w:r w:rsidRPr="00D94E44">
        <w:rPr>
          <w:rFonts w:ascii="Verdana" w:hAnsi="Verdana"/>
        </w:rPr>
        <w:t xml:space="preserve"> </w:t>
      </w:r>
      <w:r w:rsidRPr="00D94E44">
        <w:rPr>
          <w:rFonts w:ascii="Verdana" w:hAnsi="Verdana"/>
          <w:lang w:val="en-US"/>
        </w:rPr>
        <w:t>Board</w:t>
      </w:r>
      <w:r w:rsidRPr="00D94E44">
        <w:rPr>
          <w:rFonts w:ascii="Verdana" w:hAnsi="Verdana"/>
        </w:rPr>
        <w:t xml:space="preserve"> – </w:t>
      </w:r>
      <w:r w:rsidRPr="00D94E44">
        <w:rPr>
          <w:rFonts w:ascii="Verdana" w:hAnsi="Verdana"/>
          <w:lang w:val="en-US"/>
        </w:rPr>
        <w:t>LSB</w:t>
      </w:r>
      <w:r w:rsidRPr="00D94E44">
        <w:rPr>
          <w:rFonts w:ascii="Verdana" w:hAnsi="Verdana"/>
        </w:rPr>
        <w:t>) περί την επαγγελματική επάρκεια (</w:t>
      </w:r>
      <w:r w:rsidRPr="00D94E44">
        <w:rPr>
          <w:rFonts w:ascii="Verdana" w:hAnsi="Verdana"/>
          <w:lang w:val="en-US"/>
        </w:rPr>
        <w:t>competence</w:t>
      </w:r>
      <w:r w:rsidRPr="00D94E44">
        <w:rPr>
          <w:rFonts w:ascii="Verdana" w:hAnsi="Verdana"/>
        </w:rPr>
        <w:t>) των δικηγόρων</w:t>
      </w:r>
      <w:r w:rsidR="00823ACA" w:rsidRPr="00D94E44">
        <w:rPr>
          <w:rFonts w:ascii="Verdana" w:hAnsi="Verdana"/>
        </w:rPr>
        <w:t xml:space="preserve"> με βασικούς άξονες </w:t>
      </w:r>
      <w:r w:rsidR="00550F78" w:rsidRPr="00D94E44">
        <w:rPr>
          <w:rFonts w:ascii="Verdana" w:hAnsi="Verdana"/>
        </w:rPr>
        <w:t xml:space="preserve">τους ορισμούς </w:t>
      </w:r>
      <w:r w:rsidR="00823ACA" w:rsidRPr="00D94E44">
        <w:rPr>
          <w:rFonts w:ascii="Verdana" w:hAnsi="Verdana"/>
        </w:rPr>
        <w:t xml:space="preserve">της επάρκειας </w:t>
      </w:r>
      <w:r w:rsidR="00550F78" w:rsidRPr="00D94E44">
        <w:rPr>
          <w:rFonts w:ascii="Verdana" w:hAnsi="Verdana"/>
        </w:rPr>
        <w:t xml:space="preserve">στο δικηγορικό επάγγελμα </w:t>
      </w:r>
      <w:r w:rsidR="00823ACA" w:rsidRPr="00D94E44">
        <w:rPr>
          <w:rFonts w:ascii="Verdana" w:hAnsi="Verdana"/>
        </w:rPr>
        <w:t xml:space="preserve">και της </w:t>
      </w:r>
      <w:r w:rsidR="00550F78" w:rsidRPr="00D94E44">
        <w:rPr>
          <w:rFonts w:ascii="Verdana" w:hAnsi="Verdana"/>
        </w:rPr>
        <w:t xml:space="preserve">σχετικής πιστοποίησης, </w:t>
      </w:r>
      <w:r w:rsidR="00823ACA" w:rsidRPr="00D94E44">
        <w:rPr>
          <w:rFonts w:ascii="Verdana" w:hAnsi="Verdana"/>
        </w:rPr>
        <w:t xml:space="preserve">της </w:t>
      </w:r>
      <w:r w:rsidR="00296800" w:rsidRPr="00D94E44">
        <w:rPr>
          <w:rFonts w:ascii="Verdana" w:hAnsi="Verdana"/>
        </w:rPr>
        <w:t xml:space="preserve">πιστοποίησης </w:t>
      </w:r>
      <w:r w:rsidR="00550F78" w:rsidRPr="00D94E44">
        <w:rPr>
          <w:rFonts w:ascii="Verdana" w:hAnsi="Verdana"/>
        </w:rPr>
        <w:t xml:space="preserve">των </w:t>
      </w:r>
      <w:r w:rsidR="00823ACA" w:rsidRPr="00D94E44">
        <w:rPr>
          <w:rFonts w:ascii="Verdana" w:hAnsi="Verdana"/>
        </w:rPr>
        <w:t xml:space="preserve">δικηγόρων σε συνάρτηση με την </w:t>
      </w:r>
      <w:r w:rsidR="00296800" w:rsidRPr="00D94E44">
        <w:rPr>
          <w:rFonts w:ascii="Verdana" w:hAnsi="Verdana"/>
        </w:rPr>
        <w:t xml:space="preserve">πιστοποίηση </w:t>
      </w:r>
      <w:r w:rsidR="00823ACA" w:rsidRPr="00D94E44">
        <w:rPr>
          <w:rFonts w:ascii="Verdana" w:hAnsi="Verdana"/>
        </w:rPr>
        <w:t xml:space="preserve">άλλων </w:t>
      </w:r>
      <w:r w:rsidR="00296800" w:rsidRPr="00D94E44">
        <w:rPr>
          <w:rFonts w:ascii="Verdana" w:hAnsi="Verdana"/>
        </w:rPr>
        <w:t>ελευθέρων επαγγελματιών</w:t>
      </w:r>
      <w:r w:rsidR="00823ACA" w:rsidRPr="00D94E44">
        <w:rPr>
          <w:rFonts w:ascii="Verdana" w:hAnsi="Verdana"/>
        </w:rPr>
        <w:t xml:space="preserve">, </w:t>
      </w:r>
      <w:r w:rsidR="00296800" w:rsidRPr="00D94E44">
        <w:rPr>
          <w:rFonts w:ascii="Verdana" w:hAnsi="Verdana"/>
        </w:rPr>
        <w:t xml:space="preserve">καθώς και </w:t>
      </w:r>
      <w:r w:rsidR="00823ACA" w:rsidRPr="00D94E44">
        <w:rPr>
          <w:rFonts w:ascii="Verdana" w:hAnsi="Verdana"/>
        </w:rPr>
        <w:t xml:space="preserve">τις προσδοκίες των καταναλωτών για την </w:t>
      </w:r>
      <w:r w:rsidR="00296800" w:rsidRPr="00D94E44">
        <w:rPr>
          <w:rFonts w:ascii="Verdana" w:hAnsi="Verdana"/>
        </w:rPr>
        <w:t xml:space="preserve">επαγγελματική </w:t>
      </w:r>
      <w:r w:rsidR="00823ACA" w:rsidRPr="00D94E44">
        <w:rPr>
          <w:rFonts w:ascii="Verdana" w:hAnsi="Verdana"/>
        </w:rPr>
        <w:t>επάρκεια των δικηγόρων</w:t>
      </w:r>
      <w:r w:rsidRPr="00D94E44">
        <w:rPr>
          <w:rFonts w:ascii="Verdana" w:hAnsi="Verdana"/>
        </w:rPr>
        <w:t xml:space="preserve">. Αν και η οργάνωση του δικηγορικού επαγγέλματος </w:t>
      </w:r>
      <w:r w:rsidR="00F637AA" w:rsidRPr="00D94E44">
        <w:rPr>
          <w:rFonts w:ascii="Verdana" w:hAnsi="Verdana"/>
        </w:rPr>
        <w:t xml:space="preserve">στο ΗΒ </w:t>
      </w:r>
      <w:r w:rsidR="00BD6372" w:rsidRPr="00D94E44">
        <w:rPr>
          <w:rFonts w:ascii="Verdana" w:hAnsi="Verdana"/>
        </w:rPr>
        <w:t>(</w:t>
      </w:r>
      <w:r w:rsidR="00BD6372" w:rsidRPr="00D94E44">
        <w:rPr>
          <w:rFonts w:ascii="Verdana" w:hAnsi="Verdana"/>
          <w:lang w:val="en-US"/>
        </w:rPr>
        <w:t>solicitors</w:t>
      </w:r>
      <w:r w:rsidR="00BD6372" w:rsidRPr="00D94E44">
        <w:rPr>
          <w:rFonts w:ascii="Verdana" w:hAnsi="Verdana"/>
        </w:rPr>
        <w:t>-</w:t>
      </w:r>
      <w:r w:rsidR="00BD6372" w:rsidRPr="00D94E44">
        <w:rPr>
          <w:rFonts w:ascii="Verdana" w:hAnsi="Verdana"/>
          <w:lang w:val="en-US"/>
        </w:rPr>
        <w:t>barristers</w:t>
      </w:r>
      <w:r w:rsidR="00BD6372" w:rsidRPr="00D94E44">
        <w:rPr>
          <w:rFonts w:ascii="Verdana" w:hAnsi="Verdana"/>
        </w:rPr>
        <w:t>)</w:t>
      </w:r>
      <w:r w:rsidR="00F637AA" w:rsidRPr="00D94E44">
        <w:rPr>
          <w:rFonts w:ascii="Verdana" w:hAnsi="Verdana"/>
        </w:rPr>
        <w:t xml:space="preserve"> διαφέρει σε σχέση με την ηπειρωτική Ευρώπη</w:t>
      </w:r>
      <w:r w:rsidR="00BD6372" w:rsidRPr="00D94E44">
        <w:rPr>
          <w:rFonts w:ascii="Verdana" w:hAnsi="Verdana"/>
        </w:rPr>
        <w:t>, τα συμπεράσματα της έρευνα</w:t>
      </w:r>
      <w:r w:rsidR="00F637AA" w:rsidRPr="00D94E44">
        <w:rPr>
          <w:rFonts w:ascii="Verdana" w:hAnsi="Verdana"/>
        </w:rPr>
        <w:t>ς</w:t>
      </w:r>
      <w:r w:rsidR="00BD6372" w:rsidRPr="00D94E44">
        <w:rPr>
          <w:rFonts w:ascii="Verdana" w:hAnsi="Verdana"/>
        </w:rPr>
        <w:t xml:space="preserve"> θα είναι χρήσιμα για το </w:t>
      </w:r>
      <w:r w:rsidR="00BD6372" w:rsidRPr="00D94E44">
        <w:rPr>
          <w:rFonts w:ascii="Verdana" w:hAnsi="Verdana"/>
          <w:lang w:val="en-US"/>
        </w:rPr>
        <w:t>CCBE</w:t>
      </w:r>
      <w:r w:rsidR="00F637AA" w:rsidRPr="00D94E44">
        <w:rPr>
          <w:rFonts w:ascii="Verdana" w:hAnsi="Verdana"/>
        </w:rPr>
        <w:t xml:space="preserve">. Με αφορμή την έρευνα αυτή προτάθηκε να τεθεί στα μέλη του </w:t>
      </w:r>
      <w:r w:rsidR="00F637AA" w:rsidRPr="00D94E44">
        <w:rPr>
          <w:rFonts w:ascii="Verdana" w:hAnsi="Verdana"/>
          <w:lang w:val="en-US"/>
        </w:rPr>
        <w:t>CCBE</w:t>
      </w:r>
      <w:r w:rsidR="00F637AA" w:rsidRPr="00D94E44">
        <w:rPr>
          <w:rFonts w:ascii="Verdana" w:hAnsi="Verdana"/>
        </w:rPr>
        <w:t xml:space="preserve"> ο προβληματισμός για τους ενδεδειγμένους τρόπους αξιολόγησης</w:t>
      </w:r>
      <w:r w:rsidR="00296800" w:rsidRPr="00D94E44">
        <w:rPr>
          <w:rFonts w:ascii="Verdana" w:hAnsi="Verdana"/>
        </w:rPr>
        <w:t xml:space="preserve"> και </w:t>
      </w:r>
      <w:r w:rsidR="00F637AA" w:rsidRPr="00D94E44">
        <w:rPr>
          <w:rFonts w:ascii="Verdana" w:hAnsi="Verdana"/>
        </w:rPr>
        <w:t>πιστοποίησης των δικηγόρων και τυχόν εξειδικευμένης κατάρτισης. Στο πλαίσιο αυτό προκύπτουν δύο ζητήματα για την άσκηση του δικηγορικού επαγγέλματος: αφενός αν υφίσταται ανάγκη εξειδίκευσης και αντίστοιχης πιστοποίησης, αφετέρου αν πρέπει να προβλέπεται δια βίου επιμόρφωση με ελάχιστο αριθμό δραστηριοτήτων κατάρτισης ανά τακτά χρονικά διαστήματα</w:t>
      </w:r>
      <w:r w:rsidR="001E07E5" w:rsidRPr="00D94E44">
        <w:rPr>
          <w:rFonts w:ascii="Verdana" w:hAnsi="Verdana"/>
        </w:rPr>
        <w:t>.</w:t>
      </w:r>
    </w:p>
    <w:p w14:paraId="4F9CFE3D" w14:textId="4F5F0298" w:rsidR="003D4936" w:rsidRPr="00D94E44" w:rsidRDefault="001E07E5" w:rsidP="00D94E44">
      <w:pPr>
        <w:spacing w:after="240" w:line="360" w:lineRule="auto"/>
        <w:jc w:val="both"/>
        <w:rPr>
          <w:rFonts w:ascii="Verdana" w:hAnsi="Verdana"/>
        </w:rPr>
      </w:pPr>
      <w:r w:rsidRPr="00D94E44">
        <w:rPr>
          <w:rFonts w:ascii="Verdana" w:hAnsi="Verdana"/>
        </w:rPr>
        <w:t xml:space="preserve">3.- Στην </w:t>
      </w:r>
      <w:r w:rsidR="00066AD6" w:rsidRPr="00D94E44">
        <w:rPr>
          <w:rFonts w:ascii="Verdana" w:hAnsi="Verdana"/>
        </w:rPr>
        <w:t xml:space="preserve">από 17.12.2019 </w:t>
      </w:r>
      <w:r w:rsidRPr="00D94E44">
        <w:rPr>
          <w:rFonts w:ascii="Verdana" w:hAnsi="Verdana"/>
        </w:rPr>
        <w:t xml:space="preserve">Εξαμηνιαία Έκθεση της Ευρωπαϊκής Επιτροπής </w:t>
      </w:r>
      <w:r w:rsidR="00066AD6" w:rsidRPr="00D94E44">
        <w:rPr>
          <w:rFonts w:ascii="Verdana" w:hAnsi="Verdana"/>
        </w:rPr>
        <w:t xml:space="preserve">«Ετήσια στρατηγική για τη βιώσιμη ανάπτυξη 2020» </w:t>
      </w:r>
      <w:r w:rsidRPr="00D94E44">
        <w:rPr>
          <w:rFonts w:ascii="Verdana" w:hAnsi="Verdana"/>
        </w:rPr>
        <w:t>περιλαμβάνονται (μεταξύ άλλων) οι ενέργειες για την προώθηση και κατοχύρωση της Ενιαίας Αγοράς στον τομέα της παροχής υπηρεσιών</w:t>
      </w:r>
      <w:r w:rsidR="007C455F" w:rsidRPr="00D94E44">
        <w:rPr>
          <w:rFonts w:ascii="Verdana" w:hAnsi="Verdana"/>
        </w:rPr>
        <w:t>, και δη σχετικά με την αναγνώριση των επαγγελματικών προσόντων (Οδηγί</w:t>
      </w:r>
      <w:r w:rsidR="00066AD6" w:rsidRPr="00D94E44">
        <w:rPr>
          <w:rFonts w:ascii="Verdana" w:hAnsi="Verdana"/>
        </w:rPr>
        <w:t>α</w:t>
      </w:r>
      <w:r w:rsidR="007C455F" w:rsidRPr="00D94E44">
        <w:rPr>
          <w:rFonts w:ascii="Verdana" w:hAnsi="Verdana"/>
        </w:rPr>
        <w:t xml:space="preserve"> </w:t>
      </w:r>
      <w:hyperlink r:id="rId7" w:history="1">
        <w:r w:rsidR="007C455F" w:rsidRPr="00D94E44">
          <w:rPr>
            <w:rStyle w:val="-"/>
            <w:rFonts w:ascii="Verdana" w:hAnsi="Verdana"/>
          </w:rPr>
          <w:t>2005/36/ΕΚ</w:t>
        </w:r>
      </w:hyperlink>
      <w:r w:rsidR="007C455F" w:rsidRPr="00D94E44">
        <w:rPr>
          <w:rFonts w:ascii="Verdana" w:hAnsi="Verdana"/>
        </w:rPr>
        <w:t xml:space="preserve"> </w:t>
      </w:r>
      <w:r w:rsidR="00FE0A18" w:rsidRPr="00D94E44">
        <w:rPr>
          <w:rFonts w:ascii="Verdana" w:hAnsi="Verdana"/>
        </w:rPr>
        <w:t xml:space="preserve">και </w:t>
      </w:r>
      <w:r w:rsidR="00066AD6" w:rsidRPr="00D94E44">
        <w:rPr>
          <w:rFonts w:ascii="Verdana" w:hAnsi="Verdana"/>
        </w:rPr>
        <w:t>τροποποιη</w:t>
      </w:r>
      <w:r w:rsidR="00FE0A18" w:rsidRPr="00D94E44">
        <w:rPr>
          <w:rFonts w:ascii="Verdana" w:hAnsi="Verdana"/>
        </w:rPr>
        <w:t xml:space="preserve">τική αυτής </w:t>
      </w:r>
      <w:hyperlink r:id="rId8" w:history="1">
        <w:r w:rsidR="007C455F" w:rsidRPr="00D94E44">
          <w:rPr>
            <w:rStyle w:val="-"/>
            <w:rFonts w:ascii="Verdana" w:hAnsi="Verdana"/>
          </w:rPr>
          <w:t>2013/55/ΕΕ</w:t>
        </w:r>
      </w:hyperlink>
      <w:r w:rsidR="007C455F" w:rsidRPr="00D94E44">
        <w:rPr>
          <w:rFonts w:ascii="Verdana" w:hAnsi="Verdana"/>
        </w:rPr>
        <w:t>)</w:t>
      </w:r>
      <w:r w:rsidR="00087C17" w:rsidRPr="00BF5D12">
        <w:rPr>
          <w:rFonts w:ascii="Verdana" w:hAnsi="Verdana"/>
        </w:rPr>
        <w:t xml:space="preserve">. </w:t>
      </w:r>
      <w:r w:rsidR="00087C17" w:rsidRPr="00D94E44">
        <w:rPr>
          <w:rFonts w:ascii="Verdana" w:hAnsi="Verdana"/>
        </w:rPr>
        <w:t>Στα πλαίσια αυτά,</w:t>
      </w:r>
      <w:r w:rsidR="007C455F" w:rsidRPr="00D94E44">
        <w:rPr>
          <w:rFonts w:ascii="Verdana" w:hAnsi="Verdana"/>
        </w:rPr>
        <w:t xml:space="preserve"> η ΕΕ απέστειλε </w:t>
      </w:r>
      <w:r w:rsidR="00087C17" w:rsidRPr="00D94E44">
        <w:rPr>
          <w:rFonts w:ascii="Verdana" w:hAnsi="Verdana"/>
        </w:rPr>
        <w:t xml:space="preserve">αίτημα για </w:t>
      </w:r>
      <w:r w:rsidR="007C455F" w:rsidRPr="00D94E44">
        <w:rPr>
          <w:rFonts w:ascii="Verdana" w:hAnsi="Verdana"/>
        </w:rPr>
        <w:t xml:space="preserve">Αιτιολογημένη </w:t>
      </w:r>
      <w:r w:rsidR="00087C17" w:rsidRPr="00D94E44">
        <w:rPr>
          <w:rFonts w:ascii="Verdana" w:hAnsi="Verdana"/>
        </w:rPr>
        <w:t xml:space="preserve">Άποψη </w:t>
      </w:r>
      <w:r w:rsidR="007C455F" w:rsidRPr="00D94E44">
        <w:rPr>
          <w:rFonts w:ascii="Verdana" w:hAnsi="Verdana"/>
        </w:rPr>
        <w:t>σε 22 χώρες (Αυστρία, Βουλγαρία, Κροατία, Κύπρο, Τσεχία, Εσθονία, Ελλάδα, Φιλανδία, Γαλλία, Ουγγαρία</w:t>
      </w:r>
      <w:r w:rsidR="00066AD6" w:rsidRPr="00D94E44">
        <w:rPr>
          <w:rFonts w:ascii="Verdana" w:hAnsi="Verdana"/>
        </w:rPr>
        <w:t xml:space="preserve">, Ιρλανδία, Ιταλία, Λετονία, Λιθουανία, Λουξεμβούργο, Ολλανδία, Πολωνία, Πορτογαλία, Ρουμανία, Σλοβακία, Σλοβενία και Σουηδία) για τα </w:t>
      </w:r>
      <w:r w:rsidR="00FE0A18" w:rsidRPr="00D94E44">
        <w:rPr>
          <w:rFonts w:ascii="Verdana" w:hAnsi="Verdana"/>
        </w:rPr>
        <w:t>προσκόμματα</w:t>
      </w:r>
      <w:r w:rsidR="00066AD6" w:rsidRPr="00D94E44">
        <w:rPr>
          <w:rFonts w:ascii="Verdana" w:hAnsi="Verdana"/>
        </w:rPr>
        <w:t xml:space="preserve"> που </w:t>
      </w:r>
      <w:r w:rsidR="00FE0A18" w:rsidRPr="00D94E44">
        <w:rPr>
          <w:rFonts w:ascii="Verdana" w:hAnsi="Verdana"/>
        </w:rPr>
        <w:t xml:space="preserve">θέτουν οι εθνικές νομοθεσίες και πρακτικές στην </w:t>
      </w:r>
      <w:r w:rsidR="00372417" w:rsidRPr="00D94E44">
        <w:rPr>
          <w:rFonts w:ascii="Verdana" w:hAnsi="Verdana"/>
        </w:rPr>
        <w:t>ελεύθερη εγκατάσταση.</w:t>
      </w:r>
      <w:r w:rsidR="00087C17" w:rsidRPr="00D94E44">
        <w:rPr>
          <w:rFonts w:ascii="Verdana" w:hAnsi="Verdana"/>
        </w:rPr>
        <w:t xml:space="preserve"> Εξ άλλου, το </w:t>
      </w:r>
      <w:hyperlink r:id="rId9" w:history="1">
        <w:r w:rsidR="00087C17" w:rsidRPr="00D94E44">
          <w:rPr>
            <w:rStyle w:val="-"/>
            <w:rFonts w:ascii="Verdana" w:hAnsi="Verdana"/>
          </w:rPr>
          <w:t>Πρόγραμμα Εργασίας της Επιτροπής για το 2020</w:t>
        </w:r>
      </w:hyperlink>
      <w:r w:rsidR="00087C17" w:rsidRPr="00D94E44">
        <w:rPr>
          <w:rFonts w:ascii="Verdana" w:hAnsi="Verdana"/>
        </w:rPr>
        <w:t xml:space="preserve"> περιλαμβάνει την πρόθεση της Επιτροπής να ελέγξει τους υφιστάμενους περιορισμούς στην ενιαία αγορά και να προτείνει σχέδιο </w:t>
      </w:r>
      <w:r w:rsidR="00087C17" w:rsidRPr="00D94E44">
        <w:rPr>
          <w:rFonts w:ascii="Verdana" w:hAnsi="Verdana"/>
        </w:rPr>
        <w:lastRenderedPageBreak/>
        <w:t>δράσης για την ενίσχυση της ενιαίας αγοράς</w:t>
      </w:r>
      <w:r w:rsidR="003D4936" w:rsidRPr="00D94E44">
        <w:rPr>
          <w:rFonts w:ascii="Verdana" w:hAnsi="Verdana"/>
        </w:rPr>
        <w:t>. Σημειώθηκε εμφατικά ότι στην Έκθεση Απόδοσης της Ενιαίας Αγοράς (</w:t>
      </w:r>
      <w:hyperlink r:id="rId10" w:history="1">
        <w:r w:rsidR="003D4936" w:rsidRPr="00D94E44">
          <w:rPr>
            <w:rStyle w:val="-"/>
            <w:rFonts w:ascii="Verdana" w:hAnsi="Verdana"/>
            <w:lang w:val="en-US"/>
          </w:rPr>
          <w:t>Single</w:t>
        </w:r>
        <w:r w:rsidR="003D4936" w:rsidRPr="00BF5D12">
          <w:rPr>
            <w:rStyle w:val="-"/>
            <w:rFonts w:ascii="Verdana" w:hAnsi="Verdana"/>
          </w:rPr>
          <w:t xml:space="preserve"> </w:t>
        </w:r>
        <w:r w:rsidR="003D4936" w:rsidRPr="00D94E44">
          <w:rPr>
            <w:rStyle w:val="-"/>
            <w:rFonts w:ascii="Verdana" w:hAnsi="Verdana"/>
            <w:lang w:val="en-US"/>
          </w:rPr>
          <w:t>Market</w:t>
        </w:r>
        <w:r w:rsidR="003D4936" w:rsidRPr="00BF5D12">
          <w:rPr>
            <w:rStyle w:val="-"/>
            <w:rFonts w:ascii="Verdana" w:hAnsi="Verdana"/>
          </w:rPr>
          <w:t xml:space="preserve"> </w:t>
        </w:r>
        <w:r w:rsidR="003D4936" w:rsidRPr="00D94E44">
          <w:rPr>
            <w:rStyle w:val="-"/>
            <w:rFonts w:ascii="Verdana" w:hAnsi="Verdana"/>
            <w:lang w:val="en-US"/>
          </w:rPr>
          <w:t>Performance</w:t>
        </w:r>
        <w:r w:rsidR="003D4936" w:rsidRPr="00BF5D12">
          <w:rPr>
            <w:rStyle w:val="-"/>
            <w:rFonts w:ascii="Verdana" w:hAnsi="Verdana"/>
          </w:rPr>
          <w:t xml:space="preserve"> </w:t>
        </w:r>
        <w:r w:rsidR="003D4936" w:rsidRPr="00D94E44">
          <w:rPr>
            <w:rStyle w:val="-"/>
            <w:rFonts w:ascii="Verdana" w:hAnsi="Verdana"/>
            <w:lang w:val="en-US"/>
          </w:rPr>
          <w:t>Report</w:t>
        </w:r>
      </w:hyperlink>
      <w:r w:rsidR="003D4936" w:rsidRPr="00BF5D12">
        <w:rPr>
          <w:rFonts w:ascii="Verdana" w:hAnsi="Verdana"/>
        </w:rPr>
        <w:t>)</w:t>
      </w:r>
      <w:r w:rsidR="003D4936" w:rsidRPr="00D94E44">
        <w:rPr>
          <w:rFonts w:ascii="Verdana" w:hAnsi="Verdana"/>
        </w:rPr>
        <w:t xml:space="preserve"> για το 2019 γίνεται αναφορά (σελ.18) στην </w:t>
      </w:r>
      <w:proofErr w:type="spellStart"/>
      <w:r w:rsidR="003D4936" w:rsidRPr="00D94E44">
        <w:rPr>
          <w:rFonts w:ascii="Verdana" w:hAnsi="Verdana"/>
        </w:rPr>
        <w:t>συμπεριφορική</w:t>
      </w:r>
      <w:proofErr w:type="spellEnd"/>
      <w:r w:rsidR="003D4936" w:rsidRPr="00D94E44">
        <w:rPr>
          <w:rFonts w:ascii="Verdana" w:hAnsi="Verdana"/>
        </w:rPr>
        <w:t xml:space="preserve"> έρευνα που διεξήχθη στην Πολωνία για την ποιότητα των νομικών υπηρεσιών και την ικανοποίηση των καταναλωτών, ενώ τόσο ο σχεδιασμός όσο και οι μέθοδοι και ως εκ τούτου τα ευρήματα της έρευνας είχαν τύχει σφοδρής επίκρισης όχι μόνο από το </w:t>
      </w:r>
      <w:r w:rsidR="003D4936" w:rsidRPr="00D94E44">
        <w:rPr>
          <w:rFonts w:ascii="Verdana" w:hAnsi="Verdana"/>
          <w:lang w:val="en-US"/>
        </w:rPr>
        <w:t>CCBE</w:t>
      </w:r>
      <w:r w:rsidR="003D4936" w:rsidRPr="00D94E44">
        <w:rPr>
          <w:rFonts w:ascii="Verdana" w:hAnsi="Verdana"/>
        </w:rPr>
        <w:t xml:space="preserve"> αλλά και αρμόδιους επιστήμονες. Οι αδυναμίες της έρευνας αυτής είχαν εγκαίρως γνωστοποιηθεί στην ΕΕ και είναι απορίας άξιο γιατί συμπεριλήφθηκε στο έγγραφο της Επιτροπής. Σε κάθε περίπτωση συμφωνήθηκε ότι το </w:t>
      </w:r>
      <w:r w:rsidR="003D4936" w:rsidRPr="00D94E44">
        <w:rPr>
          <w:rFonts w:ascii="Verdana" w:hAnsi="Verdana"/>
          <w:lang w:val="en-US"/>
        </w:rPr>
        <w:t>CCBE</w:t>
      </w:r>
      <w:r w:rsidR="003D4936" w:rsidRPr="00BF5D12">
        <w:rPr>
          <w:rFonts w:ascii="Verdana" w:hAnsi="Verdana"/>
        </w:rPr>
        <w:t xml:space="preserve"> </w:t>
      </w:r>
      <w:r w:rsidR="003D4936" w:rsidRPr="00D94E44">
        <w:rPr>
          <w:rFonts w:ascii="Verdana" w:hAnsi="Verdana"/>
        </w:rPr>
        <w:t>πρέπει να επιμείνει και να εξηγήσει προς πάσα κατεύθυνση ότι η έρευνα αυτή δεν πρέπει να λαμβάνεται υπόψη.</w:t>
      </w:r>
    </w:p>
    <w:p w14:paraId="69A69B82" w14:textId="6768E8B6" w:rsidR="00D069BC" w:rsidRPr="00D94E44" w:rsidRDefault="00D069BC" w:rsidP="00D94E44">
      <w:pPr>
        <w:spacing w:after="240" w:line="360" w:lineRule="auto"/>
        <w:jc w:val="both"/>
        <w:rPr>
          <w:rFonts w:ascii="Verdana" w:hAnsi="Verdana"/>
        </w:rPr>
      </w:pPr>
      <w:r w:rsidRPr="00D94E44">
        <w:rPr>
          <w:rFonts w:ascii="Verdana" w:hAnsi="Verdana"/>
        </w:rPr>
        <w:t xml:space="preserve">4.- Εκδόθηκε η απόφαση του </w:t>
      </w:r>
      <w:hyperlink r:id="rId11" w:history="1">
        <w:r w:rsidRPr="00D94E44">
          <w:rPr>
            <w:rStyle w:val="-"/>
            <w:rFonts w:ascii="Verdana" w:hAnsi="Verdana"/>
          </w:rPr>
          <w:t xml:space="preserve">ΔΕΚ </w:t>
        </w:r>
        <w:r w:rsidRPr="00D94E44">
          <w:rPr>
            <w:rStyle w:val="-"/>
            <w:rFonts w:ascii="Verdana" w:hAnsi="Verdana"/>
            <w:lang w:val="en-US"/>
          </w:rPr>
          <w:t>C</w:t>
        </w:r>
        <w:r w:rsidRPr="00D94E44">
          <w:rPr>
            <w:rStyle w:val="-"/>
            <w:rFonts w:ascii="Verdana" w:hAnsi="Verdana"/>
          </w:rPr>
          <w:t>-377/17</w:t>
        </w:r>
      </w:hyperlink>
      <w:r w:rsidRPr="00D94E44">
        <w:rPr>
          <w:rFonts w:ascii="Verdana" w:hAnsi="Verdana"/>
        </w:rPr>
        <w:t xml:space="preserve"> </w:t>
      </w:r>
      <w:r w:rsidR="00796187" w:rsidRPr="00D94E44">
        <w:rPr>
          <w:rFonts w:ascii="Verdana" w:hAnsi="Verdana"/>
        </w:rPr>
        <w:t xml:space="preserve">στην προσφυγή της ΕΕ κατά της Γερμανίας για παραβίαση της Οδηγίας </w:t>
      </w:r>
      <w:hyperlink r:id="rId12" w:history="1">
        <w:r w:rsidR="00796187" w:rsidRPr="00D94E44">
          <w:rPr>
            <w:rStyle w:val="-"/>
            <w:rFonts w:ascii="Verdana" w:hAnsi="Verdana"/>
          </w:rPr>
          <w:t>2006/123/</w:t>
        </w:r>
        <w:r w:rsidR="00796187" w:rsidRPr="00D94E44">
          <w:rPr>
            <w:rStyle w:val="-"/>
            <w:rFonts w:ascii="Verdana" w:hAnsi="Verdana"/>
            <w:lang w:val="en-US"/>
          </w:rPr>
          <w:t>E</w:t>
        </w:r>
        <w:r w:rsidR="00796187" w:rsidRPr="00D94E44">
          <w:rPr>
            <w:rStyle w:val="-"/>
            <w:rFonts w:ascii="Verdana" w:hAnsi="Verdana"/>
          </w:rPr>
          <w:t>Σ</w:t>
        </w:r>
      </w:hyperlink>
      <w:r w:rsidR="00796187" w:rsidRPr="00D94E44">
        <w:rPr>
          <w:rFonts w:ascii="Verdana" w:hAnsi="Verdana"/>
        </w:rPr>
        <w:t xml:space="preserve"> (ά.15) και του ά. </w:t>
      </w:r>
      <w:hyperlink r:id="rId13" w:history="1">
        <w:r w:rsidR="00796187" w:rsidRPr="00D94E44">
          <w:rPr>
            <w:rStyle w:val="-"/>
            <w:rFonts w:ascii="Verdana" w:hAnsi="Verdana"/>
          </w:rPr>
          <w:t>49 ΣΛΕΕ</w:t>
        </w:r>
      </w:hyperlink>
      <w:r w:rsidR="00796187" w:rsidRPr="00D94E44">
        <w:rPr>
          <w:rFonts w:ascii="Verdana" w:hAnsi="Verdana"/>
        </w:rPr>
        <w:t xml:space="preserve"> </w:t>
      </w:r>
      <w:r w:rsidR="005C7732" w:rsidRPr="00D94E44">
        <w:rPr>
          <w:rFonts w:ascii="Verdana" w:hAnsi="Verdana"/>
        </w:rPr>
        <w:t xml:space="preserve">για την ελευθερία εγκατάστασης λόγω </w:t>
      </w:r>
      <w:r w:rsidR="007676FB" w:rsidRPr="00D94E44">
        <w:rPr>
          <w:rFonts w:ascii="Verdana" w:hAnsi="Verdana"/>
        </w:rPr>
        <w:t xml:space="preserve">του περιοριστικού μέτρου </w:t>
      </w:r>
      <w:r w:rsidR="005C7732" w:rsidRPr="00D94E44">
        <w:rPr>
          <w:rFonts w:ascii="Verdana" w:hAnsi="Verdana"/>
        </w:rPr>
        <w:t xml:space="preserve">της θέσπισης πλαισίου υποχρεωτικών αμοιβών </w:t>
      </w:r>
      <w:r w:rsidR="00796187" w:rsidRPr="00D94E44">
        <w:rPr>
          <w:rFonts w:ascii="Verdana" w:hAnsi="Verdana"/>
        </w:rPr>
        <w:t>των Γερμανών αρχιτεκτόνων κι μηχανικών</w:t>
      </w:r>
      <w:r w:rsidR="007676FB" w:rsidRPr="00D94E44">
        <w:rPr>
          <w:rFonts w:ascii="Verdana" w:hAnsi="Verdana"/>
        </w:rPr>
        <w:t xml:space="preserve">. </w:t>
      </w:r>
      <w:r w:rsidR="00723C58" w:rsidRPr="00D94E44">
        <w:rPr>
          <w:rFonts w:ascii="Verdana" w:hAnsi="Verdana"/>
        </w:rPr>
        <w:t>Οι ισχυρισμοί</w:t>
      </w:r>
      <w:r w:rsidR="007676FB" w:rsidRPr="00D94E44">
        <w:rPr>
          <w:rFonts w:ascii="Verdana" w:hAnsi="Verdana"/>
        </w:rPr>
        <w:t xml:space="preserve"> της Γερμανίας</w:t>
      </w:r>
      <w:r w:rsidR="00723C58" w:rsidRPr="00D94E44">
        <w:rPr>
          <w:rFonts w:ascii="Verdana" w:hAnsi="Verdana"/>
        </w:rPr>
        <w:t>,</w:t>
      </w:r>
      <w:r w:rsidR="007676FB" w:rsidRPr="00D94E44">
        <w:rPr>
          <w:rFonts w:ascii="Verdana" w:hAnsi="Verdana"/>
        </w:rPr>
        <w:t xml:space="preserve"> ότι οι κατώτατες αμοιβές εξασφαλίζουν ένα ελάχιστο επίπεδο ποιότητας</w:t>
      </w:r>
      <w:r w:rsidR="00723C58" w:rsidRPr="00BF5D12">
        <w:rPr>
          <w:rFonts w:ascii="Verdana" w:hAnsi="Verdana"/>
        </w:rPr>
        <w:t xml:space="preserve">, </w:t>
      </w:r>
      <w:r w:rsidR="00723C58" w:rsidRPr="00D94E44">
        <w:rPr>
          <w:rFonts w:ascii="Verdana" w:hAnsi="Verdana"/>
        </w:rPr>
        <w:t xml:space="preserve">ενώ οι ανώτατες αποσκοπούν στην προστασία των καταναλωτών, δεν έπεισαν το ΔΕΚ που έκρινε ότι αμφότεροι οι σκοποί δημοσίου συμφέροντος δύνανται να εξυπηρετηθούν από λιγότερο περιοριστικά μέτρα. Επίσης, παρεμπιπτόντως κρίθηκε ότι το κράτος-μέλος αρκεί να αποδείξει ότι ο υπόψη περιορισμός είναι κατάλληλος για την επίτευξη του επιδιωκόμενου σκοπού δημοσίου συμφέροντος, χωρίς να χρειάζεται να αποδείξει ότι δεν υπάρχει </w:t>
      </w:r>
      <w:r w:rsidR="008C217C">
        <w:rPr>
          <w:rFonts w:ascii="Verdana" w:hAnsi="Verdana"/>
        </w:rPr>
        <w:t xml:space="preserve">κανένα </w:t>
      </w:r>
      <w:r w:rsidR="00723C58" w:rsidRPr="00D94E44">
        <w:rPr>
          <w:rFonts w:ascii="Verdana" w:hAnsi="Verdana"/>
        </w:rPr>
        <w:t>άλλο μέτρο κατάλληλο για τον ίδιο σκοπό.</w:t>
      </w:r>
      <w:r w:rsidR="00DF12AE" w:rsidRPr="00D94E44">
        <w:rPr>
          <w:rFonts w:ascii="Verdana" w:hAnsi="Verdana"/>
        </w:rPr>
        <w:t xml:space="preserve"> Συμπερασματικά, οι τυχόν νομοθετικοί περιορισμοί στις αμοιβές των ελευθέρων επαγγελματιών δεν είναι </w:t>
      </w:r>
      <w:r w:rsidR="00DF12AE" w:rsidRPr="00D94E44">
        <w:rPr>
          <w:rFonts w:ascii="Verdana" w:hAnsi="Verdana"/>
          <w:lang w:val="en-US"/>
        </w:rPr>
        <w:t>a</w:t>
      </w:r>
      <w:r w:rsidR="00DF12AE" w:rsidRPr="00BF5D12">
        <w:rPr>
          <w:rFonts w:ascii="Verdana" w:hAnsi="Verdana"/>
        </w:rPr>
        <w:t xml:space="preserve"> </w:t>
      </w:r>
      <w:r w:rsidR="00DF12AE" w:rsidRPr="00D94E44">
        <w:rPr>
          <w:rFonts w:ascii="Verdana" w:hAnsi="Verdana"/>
          <w:lang w:val="en-US"/>
        </w:rPr>
        <w:t>priori</w:t>
      </w:r>
      <w:r w:rsidR="00DF12AE" w:rsidRPr="00D94E44">
        <w:rPr>
          <w:rFonts w:ascii="Verdana" w:hAnsi="Verdana"/>
        </w:rPr>
        <w:t xml:space="preserve"> αντίθετοι με την </w:t>
      </w:r>
      <w:proofErr w:type="spellStart"/>
      <w:r w:rsidR="00DF12AE" w:rsidRPr="00D94E44">
        <w:rPr>
          <w:rFonts w:ascii="Verdana" w:hAnsi="Verdana"/>
        </w:rPr>
        <w:t>ενωσιακή</w:t>
      </w:r>
      <w:proofErr w:type="spellEnd"/>
      <w:r w:rsidR="00DF12AE" w:rsidRPr="00D94E44">
        <w:rPr>
          <w:rFonts w:ascii="Verdana" w:hAnsi="Verdana"/>
        </w:rPr>
        <w:t xml:space="preserve"> νομοθεσία κι, επομένως, αν είναι ευέλικτοι και αφήνουν περιθώρια εξαιρέσεων</w:t>
      </w:r>
      <w:r w:rsidR="00DD7B45">
        <w:rPr>
          <w:rFonts w:ascii="Verdana" w:hAnsi="Verdana"/>
        </w:rPr>
        <w:t xml:space="preserve">, θα </w:t>
      </w:r>
      <w:r w:rsidR="00DF12AE" w:rsidRPr="00D94E44">
        <w:rPr>
          <w:rFonts w:ascii="Verdana" w:hAnsi="Verdana"/>
        </w:rPr>
        <w:t>είναι ευκολότερο να υποστηριχθεί ότι είναι «αναγκαίοι» υπό το πρίσμα του ά. 15 παρ. 3 (γ) της Οδηγίας.</w:t>
      </w:r>
    </w:p>
    <w:p w14:paraId="265FE3BF" w14:textId="6802BB62" w:rsidR="00F661A1" w:rsidRPr="00D94E44" w:rsidRDefault="00290FD5" w:rsidP="00D94E44">
      <w:pPr>
        <w:spacing w:after="240" w:line="360" w:lineRule="auto"/>
        <w:jc w:val="both"/>
        <w:rPr>
          <w:rFonts w:ascii="Verdana" w:hAnsi="Verdana"/>
        </w:rPr>
      </w:pPr>
      <w:r w:rsidRPr="00D94E44">
        <w:rPr>
          <w:rFonts w:ascii="Verdana" w:hAnsi="Verdana"/>
        </w:rPr>
        <w:t xml:space="preserve">5.- Στη συνέχεια συζητήθηκαν τα θέματα που πρέπει να απασχολήσουν την </w:t>
      </w:r>
      <w:r w:rsidR="00CA5454">
        <w:rPr>
          <w:rFonts w:ascii="Verdana" w:hAnsi="Verdana"/>
        </w:rPr>
        <w:t>Ομάδα Εργασίας</w:t>
      </w:r>
      <w:r w:rsidRPr="00D94E44">
        <w:rPr>
          <w:rFonts w:ascii="Verdana" w:hAnsi="Verdana"/>
        </w:rPr>
        <w:t xml:space="preserve"> επ’ αφορμή και των πορισμάτων του συνεδρίου του Οκτωβρίου και </w:t>
      </w:r>
      <w:r w:rsidR="00B74A19" w:rsidRPr="00D94E44">
        <w:rPr>
          <w:rFonts w:ascii="Verdana" w:hAnsi="Verdana"/>
        </w:rPr>
        <w:t xml:space="preserve">σχετικής εργασίας </w:t>
      </w:r>
      <w:r w:rsidRPr="00D94E44">
        <w:rPr>
          <w:rFonts w:ascii="Verdana" w:hAnsi="Verdana"/>
        </w:rPr>
        <w:t xml:space="preserve">του </w:t>
      </w:r>
      <w:r w:rsidRPr="00D94E44">
        <w:rPr>
          <w:rFonts w:ascii="Verdana" w:hAnsi="Verdana"/>
          <w:lang w:val="en-US"/>
        </w:rPr>
        <w:t>Thierry</w:t>
      </w:r>
      <w:r w:rsidRPr="00BF5D12">
        <w:rPr>
          <w:rFonts w:ascii="Verdana" w:hAnsi="Verdana"/>
        </w:rPr>
        <w:t xml:space="preserve"> </w:t>
      </w:r>
      <w:r w:rsidRPr="00D94E44">
        <w:rPr>
          <w:rFonts w:ascii="Verdana" w:hAnsi="Verdana"/>
          <w:lang w:val="en-US"/>
        </w:rPr>
        <w:t>Wickers</w:t>
      </w:r>
      <w:r w:rsidR="00CA5454">
        <w:rPr>
          <w:rFonts w:ascii="Verdana" w:hAnsi="Verdana"/>
        </w:rPr>
        <w:t>,</w:t>
      </w:r>
      <w:r w:rsidRPr="00BF5D12">
        <w:rPr>
          <w:rFonts w:ascii="Verdana" w:hAnsi="Verdana"/>
        </w:rPr>
        <w:t xml:space="preserve"> </w:t>
      </w:r>
      <w:r w:rsidRPr="00D94E44">
        <w:rPr>
          <w:rFonts w:ascii="Verdana" w:hAnsi="Verdana"/>
        </w:rPr>
        <w:t>μέλους της Γαλλικής Αντιπροσωπείας</w:t>
      </w:r>
      <w:r w:rsidR="00B74A19" w:rsidRPr="00D94E44">
        <w:rPr>
          <w:rFonts w:ascii="Verdana" w:hAnsi="Verdana"/>
        </w:rPr>
        <w:t xml:space="preserve">. </w:t>
      </w:r>
      <w:r w:rsidR="00DE4EE8" w:rsidRPr="00D94E44">
        <w:rPr>
          <w:rFonts w:ascii="Verdana" w:hAnsi="Verdana"/>
        </w:rPr>
        <w:t xml:space="preserve">Η πρώτη διαπίστωση είναι </w:t>
      </w:r>
      <w:r w:rsidR="00B74A19" w:rsidRPr="00D94E44">
        <w:rPr>
          <w:rFonts w:ascii="Verdana" w:hAnsi="Verdana"/>
        </w:rPr>
        <w:t xml:space="preserve">ότι δεν υπάρχει κοινή προσέγγιση </w:t>
      </w:r>
      <w:r w:rsidR="004A324F" w:rsidRPr="00D94E44">
        <w:rPr>
          <w:rFonts w:ascii="Verdana" w:hAnsi="Verdana"/>
        </w:rPr>
        <w:t xml:space="preserve">για </w:t>
      </w:r>
      <w:r w:rsidR="00120758" w:rsidRPr="00D94E44">
        <w:rPr>
          <w:rFonts w:ascii="Verdana" w:hAnsi="Verdana"/>
        </w:rPr>
        <w:t xml:space="preserve">το τι σημαίνει «ποιότητα παροχής νομικών υπηρεσιών» κι </w:t>
      </w:r>
      <w:r w:rsidR="00120758" w:rsidRPr="00D94E44">
        <w:rPr>
          <w:rFonts w:ascii="Verdana" w:hAnsi="Verdana"/>
        </w:rPr>
        <w:lastRenderedPageBreak/>
        <w:t xml:space="preserve">αυτό είναι το πρώτο πράγμα που θα πρέπει να </w:t>
      </w:r>
      <w:r w:rsidR="008A25BD" w:rsidRPr="00D94E44">
        <w:rPr>
          <w:rFonts w:ascii="Verdana" w:hAnsi="Verdana"/>
        </w:rPr>
        <w:t>εξετάσουν οι Ευρωπαίοι Δικηγόροι</w:t>
      </w:r>
      <w:r w:rsidR="00120758" w:rsidRPr="00D94E44">
        <w:rPr>
          <w:rFonts w:ascii="Verdana" w:hAnsi="Verdana"/>
        </w:rPr>
        <w:t xml:space="preserve">. Η διαδικασία αυτή θα </w:t>
      </w:r>
      <w:r w:rsidR="004A324F" w:rsidRPr="00D94E44">
        <w:rPr>
          <w:rFonts w:ascii="Verdana" w:hAnsi="Verdana"/>
        </w:rPr>
        <w:t xml:space="preserve">αναδείξει και την </w:t>
      </w:r>
      <w:r w:rsidR="00120758" w:rsidRPr="00D94E44">
        <w:rPr>
          <w:rFonts w:ascii="Verdana" w:hAnsi="Verdana"/>
        </w:rPr>
        <w:t xml:space="preserve">υπεροχή των δικηγόρων έναντι άλλων </w:t>
      </w:r>
      <w:proofErr w:type="spellStart"/>
      <w:r w:rsidR="00120758" w:rsidRPr="00D94E44">
        <w:rPr>
          <w:rFonts w:ascii="Verdana" w:hAnsi="Verdana"/>
        </w:rPr>
        <w:t>παρόχων</w:t>
      </w:r>
      <w:proofErr w:type="spellEnd"/>
      <w:r w:rsidR="00120758" w:rsidRPr="00D94E44">
        <w:rPr>
          <w:rFonts w:ascii="Verdana" w:hAnsi="Verdana"/>
        </w:rPr>
        <w:t xml:space="preserve"> </w:t>
      </w:r>
      <w:r w:rsidR="004A324F" w:rsidRPr="00D94E44">
        <w:rPr>
          <w:rFonts w:ascii="Verdana" w:hAnsi="Verdana"/>
        </w:rPr>
        <w:t>νομικών υπηρεσιών</w:t>
      </w:r>
      <w:r w:rsidR="00120758" w:rsidRPr="00D94E44">
        <w:rPr>
          <w:rFonts w:ascii="Verdana" w:hAnsi="Verdana"/>
        </w:rPr>
        <w:t xml:space="preserve">, </w:t>
      </w:r>
      <w:r w:rsidR="004A324F" w:rsidRPr="00D94E44">
        <w:rPr>
          <w:rFonts w:ascii="Verdana" w:hAnsi="Verdana"/>
        </w:rPr>
        <w:t xml:space="preserve">για </w:t>
      </w:r>
      <w:r w:rsidR="00120758" w:rsidRPr="00D94E44">
        <w:rPr>
          <w:rFonts w:ascii="Verdana" w:hAnsi="Verdana"/>
        </w:rPr>
        <w:t xml:space="preserve">τους οποίους δεν </w:t>
      </w:r>
      <w:r w:rsidR="004A324F" w:rsidRPr="00D94E44">
        <w:rPr>
          <w:rFonts w:ascii="Verdana" w:hAnsi="Verdana"/>
        </w:rPr>
        <w:t xml:space="preserve">ισχύουν τα εχέγγυα </w:t>
      </w:r>
      <w:r w:rsidR="00120758" w:rsidRPr="00D94E44">
        <w:rPr>
          <w:rFonts w:ascii="Verdana" w:hAnsi="Verdana"/>
        </w:rPr>
        <w:t>της δικηγορίας (απόρρητο, δεοντολογία, προάσπιση/</w:t>
      </w:r>
      <w:r w:rsidR="0080112B">
        <w:rPr>
          <w:rFonts w:ascii="Verdana" w:hAnsi="Verdana"/>
        </w:rPr>
        <w:t xml:space="preserve"> </w:t>
      </w:r>
      <w:r w:rsidR="00120758" w:rsidRPr="00D94E44">
        <w:rPr>
          <w:rFonts w:ascii="Verdana" w:hAnsi="Verdana"/>
        </w:rPr>
        <w:t xml:space="preserve">κατοχύρωση των συμφερόντων του εντολέα </w:t>
      </w:r>
      <w:proofErr w:type="spellStart"/>
      <w:r w:rsidR="00120758" w:rsidRPr="00D94E44">
        <w:rPr>
          <w:rFonts w:ascii="Verdana" w:hAnsi="Verdana"/>
        </w:rPr>
        <w:t>κλπ</w:t>
      </w:r>
      <w:proofErr w:type="spellEnd"/>
      <w:r w:rsidR="00120758" w:rsidRPr="00D94E44">
        <w:rPr>
          <w:rFonts w:ascii="Verdana" w:hAnsi="Verdana"/>
        </w:rPr>
        <w:t>).</w:t>
      </w:r>
      <w:r w:rsidR="008A25BD" w:rsidRPr="00BF5D12">
        <w:rPr>
          <w:rFonts w:ascii="Verdana" w:hAnsi="Verdana"/>
        </w:rPr>
        <w:t xml:space="preserve"> </w:t>
      </w:r>
      <w:r w:rsidR="008A25BD" w:rsidRPr="00D94E44">
        <w:rPr>
          <w:rFonts w:ascii="Verdana" w:hAnsi="Verdana"/>
        </w:rPr>
        <w:t xml:space="preserve">Το επόμενο βήμα θα πρέπει να είναι η εκπόνηση μεθόδων για την αξιολόγηση-μέτρηση της ποιότητας στη δικηγορία λαμβάνοντας φυσικά πάντοτε υπόψη τις ιδιαιτερότητες των νομικών υπηρεσιών. Τέλος, </w:t>
      </w:r>
      <w:r w:rsidR="004A324F" w:rsidRPr="00D94E44">
        <w:rPr>
          <w:rFonts w:ascii="Verdana" w:hAnsi="Verdana"/>
        </w:rPr>
        <w:t>θα πρέπει να δοθεί έμφαση στους τρόπους με τους οποίους οι δικηγορικοί σύλλογοι μπορούν να βοηθήσουν στην βελτίωση της ποιότητας (αλλά και την αξιολόγηση) των παρεχόμενων υπηρεσιών.</w:t>
      </w:r>
      <w:r w:rsidR="00D94E44" w:rsidRPr="00D94E44">
        <w:rPr>
          <w:rFonts w:ascii="Verdana" w:hAnsi="Verdana"/>
        </w:rPr>
        <w:t xml:space="preserve"> </w:t>
      </w:r>
    </w:p>
    <w:p w14:paraId="05D02592" w14:textId="504F51D2" w:rsidR="00D94E44" w:rsidRDefault="0080112B" w:rsidP="00D94E44">
      <w:pPr>
        <w:spacing w:after="240" w:line="360" w:lineRule="auto"/>
        <w:jc w:val="both"/>
        <w:rPr>
          <w:rFonts w:ascii="Verdana" w:hAnsi="Verdana"/>
        </w:rPr>
      </w:pPr>
      <w:r>
        <w:rPr>
          <w:rFonts w:ascii="Verdana" w:hAnsi="Verdana"/>
        </w:rPr>
        <w:t xml:space="preserve">Ως εκ τούτου, συμφωνήθηκε </w:t>
      </w:r>
      <w:r w:rsidR="00D94E44" w:rsidRPr="00D94E44">
        <w:rPr>
          <w:rFonts w:ascii="Verdana" w:hAnsi="Verdana"/>
        </w:rPr>
        <w:t>οι επόμενες συνεδριάσεις να εστιάσουν στα ακόλουθα πεδία: παράπονα/ικανοποίηση εντολέων, αξιολόγηση δικηγόρων, εφαρμογή πειθαρχικών κανόνων, κριτήρια ποιότητας στη νομική βοήθεια (</w:t>
      </w:r>
      <w:r w:rsidR="00D94E44" w:rsidRPr="00D94E44">
        <w:rPr>
          <w:rFonts w:ascii="Verdana" w:hAnsi="Verdana"/>
          <w:lang w:val="en-US"/>
        </w:rPr>
        <w:t>legal</w:t>
      </w:r>
      <w:r w:rsidR="00D94E44" w:rsidRPr="00BF5D12">
        <w:rPr>
          <w:rFonts w:ascii="Verdana" w:hAnsi="Verdana"/>
        </w:rPr>
        <w:t xml:space="preserve"> </w:t>
      </w:r>
      <w:r w:rsidR="00D94E44" w:rsidRPr="00D94E44">
        <w:rPr>
          <w:rFonts w:ascii="Verdana" w:hAnsi="Verdana"/>
          <w:lang w:val="en-US"/>
        </w:rPr>
        <w:t>aid</w:t>
      </w:r>
      <w:r w:rsidR="00D94E44" w:rsidRPr="00BF5D12">
        <w:rPr>
          <w:rFonts w:ascii="Verdana" w:hAnsi="Verdana"/>
        </w:rPr>
        <w:t>)</w:t>
      </w:r>
      <w:r w:rsidR="00D94E44" w:rsidRPr="00D94E44">
        <w:rPr>
          <w:rFonts w:ascii="Verdana" w:hAnsi="Verdana"/>
        </w:rPr>
        <w:t>, εξειδίκευση και δια βίου επαγγελματική κατάρτιση, έλεγχος και πιστοποίηση δικηγορικών εταιρειών, πιστοποίηση ποιότητας (</w:t>
      </w:r>
      <w:r w:rsidR="00DD7B45">
        <w:rPr>
          <w:rFonts w:ascii="Verdana" w:hAnsi="Verdana"/>
          <w:lang w:val="en-US"/>
        </w:rPr>
        <w:t>ISO</w:t>
      </w:r>
      <w:r w:rsidR="00D94E44" w:rsidRPr="00BF5D12">
        <w:rPr>
          <w:rFonts w:ascii="Verdana" w:hAnsi="Verdana"/>
        </w:rPr>
        <w:t>)</w:t>
      </w:r>
      <w:r w:rsidR="00D94E44" w:rsidRPr="00D94E44">
        <w:rPr>
          <w:rFonts w:ascii="Verdana" w:hAnsi="Verdana"/>
        </w:rPr>
        <w:t xml:space="preserve">, </w:t>
      </w:r>
      <w:r w:rsidR="00BE688D">
        <w:rPr>
          <w:rFonts w:ascii="Verdana" w:hAnsi="Verdana"/>
        </w:rPr>
        <w:t xml:space="preserve">μέσα </w:t>
      </w:r>
      <w:r w:rsidR="00D94E44" w:rsidRPr="00D94E44">
        <w:rPr>
          <w:rFonts w:ascii="Verdana" w:hAnsi="Verdana"/>
        </w:rPr>
        <w:t>επιβράβευση</w:t>
      </w:r>
      <w:r w:rsidR="00BE688D">
        <w:rPr>
          <w:rFonts w:ascii="Verdana" w:hAnsi="Verdana"/>
        </w:rPr>
        <w:t>ς</w:t>
      </w:r>
      <w:r w:rsidR="00D94E44" w:rsidRPr="00D94E44">
        <w:rPr>
          <w:rFonts w:ascii="Verdana" w:hAnsi="Verdana"/>
        </w:rPr>
        <w:t xml:space="preserve"> </w:t>
      </w:r>
      <w:r w:rsidR="00BE688D">
        <w:rPr>
          <w:rFonts w:ascii="Verdana" w:hAnsi="Verdana"/>
        </w:rPr>
        <w:t xml:space="preserve">(π.χ. </w:t>
      </w:r>
      <w:r w:rsidR="00BE688D">
        <w:rPr>
          <w:rFonts w:ascii="Verdana" w:hAnsi="Verdana"/>
          <w:lang w:val="en-US"/>
        </w:rPr>
        <w:t>Legal</w:t>
      </w:r>
      <w:r w:rsidR="00BE688D" w:rsidRPr="00BF5D12">
        <w:rPr>
          <w:rFonts w:ascii="Verdana" w:hAnsi="Verdana"/>
        </w:rPr>
        <w:t xml:space="preserve"> 500) </w:t>
      </w:r>
      <w:r w:rsidR="00D94E44" w:rsidRPr="00D94E44">
        <w:rPr>
          <w:rFonts w:ascii="Verdana" w:hAnsi="Verdana"/>
        </w:rPr>
        <w:t>και συγκριτική</w:t>
      </w:r>
      <w:r w:rsidR="00BE688D">
        <w:rPr>
          <w:rFonts w:ascii="Verdana" w:hAnsi="Verdana"/>
        </w:rPr>
        <w:t>ς</w:t>
      </w:r>
      <w:r w:rsidR="00D94E44" w:rsidRPr="00D94E44">
        <w:rPr>
          <w:rFonts w:ascii="Verdana" w:hAnsi="Verdana"/>
        </w:rPr>
        <w:t xml:space="preserve"> αξιολόγηση</w:t>
      </w:r>
      <w:r w:rsidR="00BE688D">
        <w:rPr>
          <w:rFonts w:ascii="Verdana" w:hAnsi="Verdana"/>
        </w:rPr>
        <w:t>ς</w:t>
      </w:r>
      <w:r w:rsidR="00D94E44" w:rsidRPr="00D94E44">
        <w:rPr>
          <w:rFonts w:ascii="Verdana" w:hAnsi="Verdana"/>
        </w:rPr>
        <w:t xml:space="preserve"> δικηγόρων.</w:t>
      </w:r>
    </w:p>
    <w:p w14:paraId="7211E441" w14:textId="77777777" w:rsidR="0080112B" w:rsidRPr="005B5E78" w:rsidRDefault="0080112B" w:rsidP="0080112B">
      <w:pPr>
        <w:spacing w:after="0" w:line="360" w:lineRule="auto"/>
        <w:jc w:val="right"/>
        <w:rPr>
          <w:rFonts w:ascii="Verdana" w:hAnsi="Verdana"/>
          <w:b/>
        </w:rPr>
      </w:pPr>
      <w:r w:rsidRPr="005B5E78">
        <w:rPr>
          <w:rFonts w:ascii="Verdana" w:hAnsi="Verdana"/>
          <w:b/>
        </w:rPr>
        <w:t>Για την Ελληνική Αντιπροσωπεία</w:t>
      </w:r>
    </w:p>
    <w:p w14:paraId="336E83CE" w14:textId="77777777" w:rsidR="0080112B" w:rsidRPr="005B5E78" w:rsidRDefault="0080112B" w:rsidP="0080112B">
      <w:pPr>
        <w:spacing w:after="0" w:line="360" w:lineRule="auto"/>
        <w:jc w:val="right"/>
        <w:rPr>
          <w:rFonts w:ascii="Verdana" w:hAnsi="Verdana"/>
          <w:b/>
        </w:rPr>
      </w:pPr>
      <w:r w:rsidRPr="005B5E78">
        <w:rPr>
          <w:rFonts w:ascii="Verdana" w:hAnsi="Verdana"/>
          <w:b/>
        </w:rPr>
        <w:t>ΜΑΡΙΑ Π. ΣΤΑΜΑΤΟΓΙΑΝΝΗ</w:t>
      </w:r>
      <w:r w:rsidRPr="005B5E78">
        <w:rPr>
          <w:rFonts w:ascii="Verdana" w:hAnsi="Verdana"/>
          <w:b/>
        </w:rPr>
        <w:tab/>
      </w:r>
    </w:p>
    <w:p w14:paraId="31C348C8" w14:textId="77777777" w:rsidR="0080112B" w:rsidRPr="005B5E78" w:rsidRDefault="0080112B" w:rsidP="0080112B">
      <w:pPr>
        <w:pStyle w:val="Web"/>
        <w:shd w:val="clear" w:color="auto" w:fill="FFFFFF"/>
        <w:spacing w:before="0" w:beforeAutospacing="0" w:after="240" w:afterAutospacing="0" w:line="360" w:lineRule="auto"/>
        <w:jc w:val="right"/>
        <w:rPr>
          <w:rFonts w:ascii="Verdana" w:hAnsi="Verdana"/>
          <w:sz w:val="22"/>
          <w:szCs w:val="22"/>
        </w:rPr>
      </w:pPr>
      <w:r w:rsidRPr="005B5E78">
        <w:rPr>
          <w:rFonts w:ascii="Verdana" w:hAnsi="Verdana"/>
          <w:b/>
          <w:sz w:val="22"/>
          <w:szCs w:val="22"/>
        </w:rPr>
        <w:t>Σύμβουλος ΔΣΠ</w:t>
      </w:r>
      <w:r w:rsidRPr="005B5E78">
        <w:rPr>
          <w:rFonts w:ascii="Verdana" w:hAnsi="Verdana"/>
          <w:b/>
          <w:sz w:val="22"/>
          <w:szCs w:val="22"/>
        </w:rPr>
        <w:tab/>
      </w:r>
      <w:r w:rsidRPr="005B5E78">
        <w:rPr>
          <w:rFonts w:ascii="Verdana" w:hAnsi="Verdana"/>
          <w:b/>
          <w:sz w:val="22"/>
          <w:szCs w:val="22"/>
        </w:rPr>
        <w:tab/>
      </w:r>
    </w:p>
    <w:p w14:paraId="4414EE97" w14:textId="77777777" w:rsidR="0080112B" w:rsidRPr="00D94E44" w:rsidRDefault="0080112B" w:rsidP="00D94E44">
      <w:pPr>
        <w:spacing w:after="240" w:line="360" w:lineRule="auto"/>
        <w:jc w:val="both"/>
        <w:rPr>
          <w:rFonts w:ascii="Verdana" w:hAnsi="Verdana"/>
        </w:rPr>
      </w:pPr>
    </w:p>
    <w:sectPr w:rsidR="0080112B" w:rsidRPr="00D94E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1F"/>
    <w:rsid w:val="00032E85"/>
    <w:rsid w:val="00066AD6"/>
    <w:rsid w:val="00087C17"/>
    <w:rsid w:val="00120758"/>
    <w:rsid w:val="001652D5"/>
    <w:rsid w:val="001E07E5"/>
    <w:rsid w:val="00290FD5"/>
    <w:rsid w:val="00296800"/>
    <w:rsid w:val="002C6FB8"/>
    <w:rsid w:val="002F5694"/>
    <w:rsid w:val="00372417"/>
    <w:rsid w:val="003A0EB7"/>
    <w:rsid w:val="003D4936"/>
    <w:rsid w:val="004A324F"/>
    <w:rsid w:val="004D4FD5"/>
    <w:rsid w:val="00550F78"/>
    <w:rsid w:val="005C7732"/>
    <w:rsid w:val="00613739"/>
    <w:rsid w:val="00667828"/>
    <w:rsid w:val="00723C58"/>
    <w:rsid w:val="007676FB"/>
    <w:rsid w:val="00796187"/>
    <w:rsid w:val="007C455F"/>
    <w:rsid w:val="0080112B"/>
    <w:rsid w:val="00823ACA"/>
    <w:rsid w:val="008419A7"/>
    <w:rsid w:val="008A25BD"/>
    <w:rsid w:val="008C217C"/>
    <w:rsid w:val="00947F7D"/>
    <w:rsid w:val="0096083F"/>
    <w:rsid w:val="009D001F"/>
    <w:rsid w:val="00A3096F"/>
    <w:rsid w:val="00B44DED"/>
    <w:rsid w:val="00B74A19"/>
    <w:rsid w:val="00BD6372"/>
    <w:rsid w:val="00BE688D"/>
    <w:rsid w:val="00BF5D12"/>
    <w:rsid w:val="00C055E5"/>
    <w:rsid w:val="00C218E4"/>
    <w:rsid w:val="00C25561"/>
    <w:rsid w:val="00CA5454"/>
    <w:rsid w:val="00CF457E"/>
    <w:rsid w:val="00D069BC"/>
    <w:rsid w:val="00D571C8"/>
    <w:rsid w:val="00D94E44"/>
    <w:rsid w:val="00DD3FEB"/>
    <w:rsid w:val="00DD7B45"/>
    <w:rsid w:val="00DE4EE8"/>
    <w:rsid w:val="00DF12AE"/>
    <w:rsid w:val="00F45AFB"/>
    <w:rsid w:val="00F637AA"/>
    <w:rsid w:val="00F661A1"/>
    <w:rsid w:val="00FE0A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CC03"/>
  <w15:chartTrackingRefBased/>
  <w15:docId w15:val="{FEF99CA6-34BE-4D04-B22E-15C9341C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F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6083F"/>
    <w:rPr>
      <w:color w:val="0563C1" w:themeColor="hyperlink"/>
      <w:u w:val="single"/>
    </w:rPr>
  </w:style>
  <w:style w:type="character" w:customStyle="1" w:styleId="UnresolvedMention">
    <w:name w:val="Unresolved Mention"/>
    <w:basedOn w:val="a0"/>
    <w:uiPriority w:val="99"/>
    <w:semiHidden/>
    <w:unhideWhenUsed/>
    <w:rsid w:val="0096083F"/>
    <w:rPr>
      <w:color w:val="605E5C"/>
      <w:shd w:val="clear" w:color="auto" w:fill="E1DFDD"/>
    </w:rPr>
  </w:style>
  <w:style w:type="character" w:styleId="-0">
    <w:name w:val="FollowedHyperlink"/>
    <w:basedOn w:val="a0"/>
    <w:uiPriority w:val="99"/>
    <w:semiHidden/>
    <w:unhideWhenUsed/>
    <w:rsid w:val="005C7732"/>
    <w:rPr>
      <w:color w:val="954F72" w:themeColor="followedHyperlink"/>
      <w:u w:val="single"/>
    </w:rPr>
  </w:style>
  <w:style w:type="paragraph" w:styleId="Web">
    <w:name w:val="Normal (Web)"/>
    <w:basedOn w:val="a"/>
    <w:uiPriority w:val="99"/>
    <w:unhideWhenUsed/>
    <w:rsid w:val="00D94E4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qid=1585914865644&amp;uri=CELEX:32013L0055" TargetMode="External"/><Relationship Id="rId13" Type="http://schemas.openxmlformats.org/officeDocument/2006/relationships/hyperlink" Target="https://eur-lex.europa.eu/legal-content/EL/TXT/?uri=CELEX:12008E049" TargetMode="External"/><Relationship Id="rId3" Type="http://schemas.openxmlformats.org/officeDocument/2006/relationships/settings" Target="settings.xml"/><Relationship Id="rId7" Type="http://schemas.openxmlformats.org/officeDocument/2006/relationships/hyperlink" Target="https://eur-lex.europa.eu/legal-content/EN/TXT/?uri=celex%3A32005L0036" TargetMode="External"/><Relationship Id="rId12" Type="http://schemas.openxmlformats.org/officeDocument/2006/relationships/hyperlink" Target="https://eur-lex.europa.eu/legal-content/EL/TXT/HTML/?uri=CELEX:32006L0123&amp;from=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egalservicesboard.org.uk/news/ongoing-competence-call-for-evidence" TargetMode="External"/><Relationship Id="rId11" Type="http://schemas.openxmlformats.org/officeDocument/2006/relationships/hyperlink" Target="http://curia.europa.eu/juris/celex.jsf?celex=62017CJ0377&amp;lang1=en&amp;type=TXT&amp;ancre=" TargetMode="External"/><Relationship Id="rId5" Type="http://schemas.openxmlformats.org/officeDocument/2006/relationships/hyperlink" Target="https://eur-lex.europa.eu/eli/dir/2018/958/oj?locale=el" TargetMode="External"/><Relationship Id="rId15" Type="http://schemas.openxmlformats.org/officeDocument/2006/relationships/theme" Target="theme/theme1.xml"/><Relationship Id="rId10" Type="http://schemas.openxmlformats.org/officeDocument/2006/relationships/hyperlink" Target="https://eur-lex.europa.eu/legal-content/EN/TXT/PDF/?uri=CELEX:52019SC0444&amp;from=EN" TargetMode="External"/><Relationship Id="rId4" Type="http://schemas.openxmlformats.org/officeDocument/2006/relationships/webSettings" Target="webSettings.xml"/><Relationship Id="rId9" Type="http://schemas.openxmlformats.org/officeDocument/2006/relationships/hyperlink" Target="https://eur-lex.europa.eu/resource.html?uri=cellar%3A7ae642ea-4340-11ea-b81b-01aa75ed71a1.0002.02/DOC_1&amp;forma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00A23-0C45-4099-8A5A-DF95F57A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6879</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Stamatogianni</dc:creator>
  <cp:keywords/>
  <dc:description/>
  <cp:lastModifiedBy>User</cp:lastModifiedBy>
  <cp:revision>2</cp:revision>
  <dcterms:created xsi:type="dcterms:W3CDTF">2020-04-06T18:27:00Z</dcterms:created>
  <dcterms:modified xsi:type="dcterms:W3CDTF">2020-04-06T18:27:00Z</dcterms:modified>
</cp:coreProperties>
</file>