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6A47" w14:textId="06F003F2" w:rsidR="00C25561" w:rsidRPr="00B079C3" w:rsidRDefault="00B71143" w:rsidP="00B079C3">
      <w:pPr>
        <w:spacing w:after="0" w:line="360" w:lineRule="auto"/>
        <w:jc w:val="center"/>
        <w:rPr>
          <w:rFonts w:ascii="Verdana" w:hAnsi="Verdana"/>
          <w:b/>
        </w:rPr>
      </w:pPr>
      <w:r w:rsidRPr="00B079C3">
        <w:rPr>
          <w:rFonts w:ascii="Verdana" w:hAnsi="Verdana"/>
          <w:b/>
        </w:rPr>
        <w:t>ΟΜΑΔΑ ΕΡΓΑΣΙΑΣ ΓΙΑ ΤΗ ΔΙΑΣΦΑΛΙΣΗ</w:t>
      </w:r>
      <w:bookmarkStart w:id="0" w:name="_GoBack"/>
      <w:bookmarkEnd w:id="0"/>
      <w:r w:rsidR="00B079C3">
        <w:rPr>
          <w:rFonts w:ascii="Verdana" w:hAnsi="Verdana"/>
          <w:b/>
        </w:rPr>
        <w:br/>
      </w:r>
      <w:r w:rsidRPr="00B079C3">
        <w:rPr>
          <w:rFonts w:ascii="Verdana" w:hAnsi="Verdana"/>
          <w:b/>
        </w:rPr>
        <w:t>ΤΟΥ ΔΙΚΗΓΟΡΙΚΟΥ ΑΠΟΡΡΗΤΟΥ</w:t>
      </w:r>
    </w:p>
    <w:p w14:paraId="7E1057FF" w14:textId="24B16C7A" w:rsidR="00B71143" w:rsidRPr="000346D7" w:rsidRDefault="00B71143" w:rsidP="00B079C3">
      <w:pPr>
        <w:spacing w:after="0" w:line="360" w:lineRule="auto"/>
        <w:jc w:val="center"/>
        <w:rPr>
          <w:rFonts w:ascii="Verdana" w:hAnsi="Verdana"/>
          <w:b/>
        </w:rPr>
      </w:pPr>
      <w:r w:rsidRPr="000346D7">
        <w:rPr>
          <w:rFonts w:ascii="Verdana" w:hAnsi="Verdana"/>
          <w:b/>
        </w:rPr>
        <w:t>(</w:t>
      </w:r>
      <w:r w:rsidRPr="00B079C3">
        <w:rPr>
          <w:rFonts w:ascii="Verdana" w:hAnsi="Verdana"/>
          <w:b/>
          <w:lang w:val="en-US"/>
        </w:rPr>
        <w:t>SURVEILLANCE</w:t>
      </w:r>
      <w:r w:rsidRPr="000346D7">
        <w:rPr>
          <w:rFonts w:ascii="Verdana" w:hAnsi="Verdana"/>
          <w:b/>
        </w:rPr>
        <w:t xml:space="preserve"> </w:t>
      </w:r>
      <w:r w:rsidRPr="00B079C3">
        <w:rPr>
          <w:rFonts w:ascii="Verdana" w:hAnsi="Verdana"/>
          <w:b/>
          <w:lang w:val="en-US"/>
        </w:rPr>
        <w:t>WORKING</w:t>
      </w:r>
      <w:r w:rsidRPr="000346D7">
        <w:rPr>
          <w:rFonts w:ascii="Verdana" w:hAnsi="Verdana"/>
          <w:b/>
        </w:rPr>
        <w:t xml:space="preserve"> </w:t>
      </w:r>
      <w:r w:rsidRPr="00B079C3">
        <w:rPr>
          <w:rFonts w:ascii="Verdana" w:hAnsi="Verdana"/>
          <w:b/>
          <w:lang w:val="en-US"/>
        </w:rPr>
        <w:t>GROUP</w:t>
      </w:r>
      <w:r w:rsidRPr="000346D7">
        <w:rPr>
          <w:rFonts w:ascii="Verdana" w:hAnsi="Verdana"/>
          <w:b/>
        </w:rPr>
        <w:t>)</w:t>
      </w:r>
    </w:p>
    <w:p w14:paraId="459B5CD0" w14:textId="151EC4B6" w:rsidR="00B71143" w:rsidRPr="00B079C3" w:rsidRDefault="00B71143" w:rsidP="00B079C3">
      <w:pPr>
        <w:spacing w:after="240" w:line="360" w:lineRule="auto"/>
        <w:jc w:val="center"/>
        <w:rPr>
          <w:rFonts w:ascii="Verdana" w:hAnsi="Verdana"/>
          <w:b/>
        </w:rPr>
      </w:pPr>
      <w:r w:rsidRPr="00B079C3">
        <w:rPr>
          <w:rFonts w:ascii="Verdana" w:hAnsi="Verdana"/>
          <w:b/>
        </w:rPr>
        <w:t>Λιλ, 28.11.2018 (10:00 – 12:00)</w:t>
      </w:r>
    </w:p>
    <w:p w14:paraId="586D40EC" w14:textId="25682FD9" w:rsidR="00B71143" w:rsidRDefault="00B71143" w:rsidP="0076246D">
      <w:pPr>
        <w:spacing w:after="240" w:line="360" w:lineRule="auto"/>
        <w:jc w:val="both"/>
        <w:rPr>
          <w:rFonts w:ascii="Verdana" w:hAnsi="Verdana"/>
        </w:rPr>
      </w:pPr>
      <w:r>
        <w:rPr>
          <w:rFonts w:ascii="Verdana" w:hAnsi="Verdana"/>
        </w:rPr>
        <w:t xml:space="preserve">1.- Συζητήθηκε το σχέδιο υπομνήματος </w:t>
      </w:r>
      <w:r>
        <w:rPr>
          <w:rFonts w:ascii="Verdana" w:hAnsi="Verdana"/>
          <w:lang w:val="en-US"/>
        </w:rPr>
        <w:t>CCBE</w:t>
      </w:r>
      <w:r w:rsidRPr="00B71143">
        <w:rPr>
          <w:rFonts w:ascii="Verdana" w:hAnsi="Verdana"/>
        </w:rPr>
        <w:t xml:space="preserve"> </w:t>
      </w:r>
      <w:r>
        <w:rPr>
          <w:rFonts w:ascii="Verdana" w:hAnsi="Verdana"/>
        </w:rPr>
        <w:t xml:space="preserve">που πραγματεύεται την έννοια της </w:t>
      </w:r>
      <w:r w:rsidRPr="000346D7">
        <w:rPr>
          <w:rFonts w:ascii="Verdana" w:hAnsi="Verdana"/>
          <w:b/>
        </w:rPr>
        <w:t>εθνικής ασφάλειας</w:t>
      </w:r>
      <w:r>
        <w:rPr>
          <w:rFonts w:ascii="Verdana" w:hAnsi="Verdana"/>
        </w:rPr>
        <w:t xml:space="preserve"> </w:t>
      </w:r>
      <w:r w:rsidR="000346D7">
        <w:rPr>
          <w:rFonts w:ascii="Verdana" w:hAnsi="Verdana"/>
        </w:rPr>
        <w:t>(</w:t>
      </w:r>
      <w:r w:rsidR="000346D7">
        <w:rPr>
          <w:rFonts w:ascii="Verdana" w:hAnsi="Verdana"/>
          <w:lang w:val="en-US"/>
        </w:rPr>
        <w:t>national</w:t>
      </w:r>
      <w:r w:rsidR="000346D7" w:rsidRPr="000346D7">
        <w:rPr>
          <w:rFonts w:ascii="Verdana" w:hAnsi="Verdana"/>
        </w:rPr>
        <w:t xml:space="preserve"> </w:t>
      </w:r>
      <w:r w:rsidR="000346D7">
        <w:rPr>
          <w:rFonts w:ascii="Verdana" w:hAnsi="Verdana"/>
          <w:lang w:val="en-US"/>
        </w:rPr>
        <w:t>security</w:t>
      </w:r>
      <w:r w:rsidR="000346D7" w:rsidRPr="000346D7">
        <w:rPr>
          <w:rFonts w:ascii="Verdana" w:hAnsi="Verdana"/>
        </w:rPr>
        <w:t xml:space="preserve">) </w:t>
      </w:r>
      <w:r w:rsidR="00DD2D6B">
        <w:rPr>
          <w:rFonts w:ascii="Verdana" w:hAnsi="Verdana"/>
        </w:rPr>
        <w:t>σε συνάρτηση με τα θεμελιώδη ανθρώπινα δικαιώματα και προτάθηκε να υιοθετηθεί η κάτωθι περιγραφική προσέγγιση:</w:t>
      </w:r>
    </w:p>
    <w:p w14:paraId="6FF5D1D6" w14:textId="0F8155A0" w:rsidR="00DD2D6B" w:rsidRPr="0076246D" w:rsidRDefault="00DD2D6B" w:rsidP="000346D7">
      <w:pPr>
        <w:spacing w:after="0" w:line="360" w:lineRule="auto"/>
        <w:jc w:val="both"/>
        <w:rPr>
          <w:rFonts w:ascii="Verdana" w:hAnsi="Verdana"/>
          <w:i/>
        </w:rPr>
      </w:pPr>
      <w:r w:rsidRPr="0076246D">
        <w:rPr>
          <w:rFonts w:ascii="Verdana" w:hAnsi="Verdana"/>
          <w:i/>
        </w:rPr>
        <w:t>Ως Εθνική Ασφάλεια νοείται η εσωτερική και εξωτερική ασφάλεια του κράτους, που περιλαμβάνει ένα ή περισσότερα από τα παρακάτω:</w:t>
      </w:r>
    </w:p>
    <w:p w14:paraId="6FBE8BD3" w14:textId="49DEDA78" w:rsidR="00DD2D6B" w:rsidRPr="0076246D" w:rsidRDefault="00DD2D6B" w:rsidP="0076246D">
      <w:pPr>
        <w:pStyle w:val="ListParagraph"/>
        <w:numPr>
          <w:ilvl w:val="0"/>
          <w:numId w:val="1"/>
        </w:numPr>
        <w:spacing w:after="240" w:line="360" w:lineRule="auto"/>
        <w:rPr>
          <w:rFonts w:ascii="Verdana" w:hAnsi="Verdana"/>
          <w:i/>
        </w:rPr>
      </w:pPr>
      <w:r w:rsidRPr="0076246D">
        <w:rPr>
          <w:rFonts w:ascii="Verdana" w:hAnsi="Verdana"/>
          <w:i/>
        </w:rPr>
        <w:t>Την εθνική κυριαρχία</w:t>
      </w:r>
    </w:p>
    <w:p w14:paraId="05701B11" w14:textId="32670873" w:rsidR="00DD2D6B" w:rsidRPr="0076246D" w:rsidRDefault="00DD2D6B" w:rsidP="0076246D">
      <w:pPr>
        <w:pStyle w:val="ListParagraph"/>
        <w:numPr>
          <w:ilvl w:val="0"/>
          <w:numId w:val="1"/>
        </w:numPr>
        <w:spacing w:after="240" w:line="360" w:lineRule="auto"/>
        <w:rPr>
          <w:rFonts w:ascii="Verdana" w:hAnsi="Verdana"/>
          <w:i/>
        </w:rPr>
      </w:pPr>
      <w:r w:rsidRPr="0076246D">
        <w:rPr>
          <w:rFonts w:ascii="Verdana" w:hAnsi="Verdana"/>
          <w:i/>
        </w:rPr>
        <w:t>Την εδαφική και θεσμική ακεραιότητα</w:t>
      </w:r>
    </w:p>
    <w:p w14:paraId="35BBF274" w14:textId="1DA8A520" w:rsidR="00DD2D6B" w:rsidRPr="0076246D" w:rsidRDefault="00DD2D6B" w:rsidP="0076246D">
      <w:pPr>
        <w:pStyle w:val="ListParagraph"/>
        <w:numPr>
          <w:ilvl w:val="0"/>
          <w:numId w:val="1"/>
        </w:numPr>
        <w:spacing w:after="240" w:line="360" w:lineRule="auto"/>
        <w:rPr>
          <w:rFonts w:ascii="Verdana" w:hAnsi="Verdana"/>
          <w:i/>
        </w:rPr>
      </w:pPr>
      <w:r w:rsidRPr="0076246D">
        <w:rPr>
          <w:rFonts w:ascii="Verdana" w:hAnsi="Verdana"/>
          <w:i/>
        </w:rPr>
        <w:t>Την προστασία της δημοκρατικής αρχής</w:t>
      </w:r>
    </w:p>
    <w:p w14:paraId="69D36D40" w14:textId="61D9EBB0" w:rsidR="00DD2D6B" w:rsidRPr="0076246D" w:rsidRDefault="00DD2D6B" w:rsidP="0076246D">
      <w:pPr>
        <w:pStyle w:val="ListParagraph"/>
        <w:numPr>
          <w:ilvl w:val="0"/>
          <w:numId w:val="1"/>
        </w:numPr>
        <w:spacing w:after="240" w:line="360" w:lineRule="auto"/>
        <w:rPr>
          <w:rFonts w:ascii="Verdana" w:hAnsi="Verdana"/>
          <w:i/>
        </w:rPr>
      </w:pPr>
      <w:r w:rsidRPr="0076246D">
        <w:rPr>
          <w:rFonts w:ascii="Verdana" w:hAnsi="Verdana"/>
          <w:i/>
        </w:rPr>
        <w:t xml:space="preserve">Την προστασία των υπηκόων και </w:t>
      </w:r>
      <w:r w:rsidR="00990911" w:rsidRPr="0076246D">
        <w:rPr>
          <w:rFonts w:ascii="Verdana" w:hAnsi="Verdana"/>
          <w:i/>
        </w:rPr>
        <w:t>νόμιμων</w:t>
      </w:r>
      <w:r w:rsidRPr="0076246D">
        <w:rPr>
          <w:rFonts w:ascii="Verdana" w:hAnsi="Verdana"/>
          <w:i/>
        </w:rPr>
        <w:t xml:space="preserve"> κατοίκων από σοβαρές απειλές κατά της ζωής, της υγείας και των ανθρωπίνων δικαιωμάτων τους</w:t>
      </w:r>
    </w:p>
    <w:p w14:paraId="6EFBB2BE" w14:textId="77777777" w:rsidR="0050142C" w:rsidRDefault="0076246D" w:rsidP="0076246D">
      <w:pPr>
        <w:spacing w:after="240" w:line="360" w:lineRule="auto"/>
        <w:jc w:val="both"/>
        <w:rPr>
          <w:rFonts w:ascii="Verdana" w:hAnsi="Verdana"/>
        </w:rPr>
      </w:pPr>
      <w:r>
        <w:rPr>
          <w:rFonts w:ascii="Verdana" w:hAnsi="Verdana"/>
        </w:rPr>
        <w:t>Στο σχέδιο υπογραμμίζεται ο σημαντικός ρόλος της δικαστικής εξουσίας, που καλείται να ερμηνεύσει την έννοια της «εθνικής ασφάλειας» ως δικαιολο</w:t>
      </w:r>
      <w:r>
        <w:rPr>
          <w:rFonts w:ascii="Verdana" w:hAnsi="Verdana"/>
        </w:rPr>
        <w:softHyphen/>
        <w:t xml:space="preserve">γητική βάση για τον περιορισμό των ατομικών ελευθεριών, ειδικά όταν η εκτελεστική αρχή αποφεύγει να την </w:t>
      </w:r>
      <w:r w:rsidR="003E71E5">
        <w:rPr>
          <w:rFonts w:ascii="Verdana" w:hAnsi="Verdana"/>
        </w:rPr>
        <w:t xml:space="preserve">προσδιορίσει </w:t>
      </w:r>
      <w:r>
        <w:rPr>
          <w:rFonts w:ascii="Verdana" w:hAnsi="Verdana"/>
        </w:rPr>
        <w:t xml:space="preserve">νομοθετικά. Τέλος, το σχέδιο εισηγείται τις εξής συστάσεις: </w:t>
      </w:r>
    </w:p>
    <w:p w14:paraId="32F6BEE4" w14:textId="1843D580" w:rsidR="00DD2D6B" w:rsidRPr="0050142C" w:rsidRDefault="0076246D" w:rsidP="0050142C">
      <w:pPr>
        <w:pStyle w:val="ListParagraph"/>
        <w:numPr>
          <w:ilvl w:val="0"/>
          <w:numId w:val="2"/>
        </w:numPr>
        <w:spacing w:after="240" w:line="360" w:lineRule="auto"/>
        <w:ind w:left="714" w:hanging="357"/>
        <w:contextualSpacing w:val="0"/>
        <w:jc w:val="both"/>
        <w:rPr>
          <w:rFonts w:ascii="Verdana" w:hAnsi="Verdana"/>
        </w:rPr>
      </w:pPr>
      <w:r w:rsidRPr="0050142C">
        <w:rPr>
          <w:rFonts w:ascii="Verdana" w:hAnsi="Verdana"/>
        </w:rPr>
        <w:t xml:space="preserve">νομοθετική </w:t>
      </w:r>
      <w:r w:rsidRPr="000346D7">
        <w:rPr>
          <w:rFonts w:ascii="Verdana" w:hAnsi="Verdana"/>
          <w:b/>
        </w:rPr>
        <w:t>διασάφηση της έννοιας</w:t>
      </w:r>
      <w:r w:rsidRPr="0050142C">
        <w:rPr>
          <w:rFonts w:ascii="Verdana" w:hAnsi="Verdana"/>
        </w:rPr>
        <w:t xml:space="preserve"> της εθνικής ασφάλειας (κατά προτίμηση σε διεθνές επίπεδο) </w:t>
      </w:r>
      <w:r w:rsidR="0050142C" w:rsidRPr="0050142C">
        <w:rPr>
          <w:rFonts w:ascii="Verdana" w:hAnsi="Verdana"/>
        </w:rPr>
        <w:t xml:space="preserve">και </w:t>
      </w:r>
      <w:r w:rsidR="003E71E5" w:rsidRPr="000346D7">
        <w:rPr>
          <w:rFonts w:ascii="Verdana" w:hAnsi="Verdana"/>
          <w:b/>
        </w:rPr>
        <w:t>κατοχύρωση των εγγυήσεων</w:t>
      </w:r>
      <w:r w:rsidR="003E71E5" w:rsidRPr="0050142C">
        <w:rPr>
          <w:rFonts w:ascii="Verdana" w:hAnsi="Verdana"/>
        </w:rPr>
        <w:t xml:space="preserve"> υπό τις οποίες δύνανται να καμφθούν οι ατομικές ελευθερίες χάριν της εθνικής ασφάλειας</w:t>
      </w:r>
      <w:r w:rsidR="0050142C" w:rsidRPr="0050142C">
        <w:rPr>
          <w:rFonts w:ascii="Verdana" w:hAnsi="Verdana"/>
        </w:rPr>
        <w:t xml:space="preserve">, </w:t>
      </w:r>
      <w:r w:rsidR="003E71E5" w:rsidRPr="0050142C">
        <w:rPr>
          <w:rFonts w:ascii="Verdana" w:hAnsi="Verdana"/>
        </w:rPr>
        <w:t xml:space="preserve">διαφύλαξη </w:t>
      </w:r>
      <w:r w:rsidR="0050142C" w:rsidRPr="0050142C">
        <w:rPr>
          <w:rFonts w:ascii="Verdana" w:hAnsi="Verdana"/>
        </w:rPr>
        <w:t xml:space="preserve">του προνομίου </w:t>
      </w:r>
      <w:r w:rsidR="003E71E5" w:rsidRPr="0050142C">
        <w:rPr>
          <w:rFonts w:ascii="Verdana" w:hAnsi="Verdana"/>
        </w:rPr>
        <w:t>επιβολής περιοριστικών μέτρων είτε μόνο σε δημόσιους λειτουργούς είτε, σε περίπτωση ανάθεσης σε ιδιώτες, υπό αυστηρή κρατική εποπτεία</w:t>
      </w:r>
    </w:p>
    <w:p w14:paraId="226F2026" w14:textId="79F04736" w:rsidR="007F3CF7" w:rsidRDefault="005315A2" w:rsidP="0076246D">
      <w:pPr>
        <w:pStyle w:val="ListParagraph"/>
        <w:numPr>
          <w:ilvl w:val="0"/>
          <w:numId w:val="2"/>
        </w:numPr>
        <w:spacing w:after="240" w:line="360" w:lineRule="auto"/>
        <w:ind w:left="714" w:hanging="357"/>
        <w:contextualSpacing w:val="0"/>
        <w:jc w:val="both"/>
        <w:rPr>
          <w:rFonts w:ascii="Verdana" w:hAnsi="Verdana"/>
        </w:rPr>
      </w:pPr>
      <w:proofErr w:type="spellStart"/>
      <w:r w:rsidRPr="00DA7159">
        <w:rPr>
          <w:rFonts w:ascii="Verdana" w:hAnsi="Verdana"/>
        </w:rPr>
        <w:t>αδειοδότηση</w:t>
      </w:r>
      <w:proofErr w:type="spellEnd"/>
      <w:r w:rsidRPr="00DA7159">
        <w:rPr>
          <w:rFonts w:ascii="Verdana" w:hAnsi="Verdana"/>
        </w:rPr>
        <w:t xml:space="preserve"> και </w:t>
      </w:r>
      <w:r w:rsidR="0050142C" w:rsidRPr="00DA7159">
        <w:rPr>
          <w:rFonts w:ascii="Verdana" w:hAnsi="Verdana"/>
        </w:rPr>
        <w:t xml:space="preserve">εποπτεία της διοίκησης από </w:t>
      </w:r>
      <w:r w:rsidR="00DA7159" w:rsidRPr="00DA7159">
        <w:rPr>
          <w:rFonts w:ascii="Verdana" w:hAnsi="Verdana"/>
        </w:rPr>
        <w:t xml:space="preserve">(διαφορετικά) </w:t>
      </w:r>
      <w:r w:rsidR="0050142C" w:rsidRPr="000346D7">
        <w:rPr>
          <w:rFonts w:ascii="Verdana" w:hAnsi="Verdana"/>
          <w:b/>
        </w:rPr>
        <w:t>ανεξάρτητα δικαστικά όργανα</w:t>
      </w:r>
      <w:r w:rsidR="0050142C" w:rsidRPr="00DA7159">
        <w:rPr>
          <w:rFonts w:ascii="Verdana" w:hAnsi="Verdana"/>
        </w:rPr>
        <w:t xml:space="preserve">, που θα </w:t>
      </w:r>
      <w:r w:rsidR="00DA7159">
        <w:rPr>
          <w:rFonts w:ascii="Verdana" w:hAnsi="Verdana"/>
        </w:rPr>
        <w:t xml:space="preserve">αποφαίνονται </w:t>
      </w:r>
      <w:r w:rsidR="000346D7">
        <w:rPr>
          <w:rFonts w:ascii="Verdana" w:hAnsi="Verdana"/>
        </w:rPr>
        <w:t>δεσμευτικά</w:t>
      </w:r>
      <w:r w:rsidR="00DA7159">
        <w:rPr>
          <w:rFonts w:ascii="Verdana" w:hAnsi="Verdana"/>
        </w:rPr>
        <w:t xml:space="preserve"> (</w:t>
      </w:r>
      <w:r w:rsidR="000346D7">
        <w:rPr>
          <w:rFonts w:ascii="Verdana" w:hAnsi="Verdana"/>
        </w:rPr>
        <w:t xml:space="preserve">και </w:t>
      </w:r>
      <w:r w:rsidR="00DA7159">
        <w:rPr>
          <w:rFonts w:ascii="Verdana" w:hAnsi="Verdana"/>
        </w:rPr>
        <w:t xml:space="preserve">όχι απλά γνωμοδοτικά) για </w:t>
      </w:r>
      <w:r w:rsidRPr="00DA7159">
        <w:rPr>
          <w:rFonts w:ascii="Verdana" w:hAnsi="Verdana"/>
        </w:rPr>
        <w:t xml:space="preserve">κάθε περίπτωση ξεχωριστά </w:t>
      </w:r>
      <w:r w:rsidR="0050142C" w:rsidRPr="00DA7159">
        <w:rPr>
          <w:rFonts w:ascii="Verdana" w:hAnsi="Verdana"/>
        </w:rPr>
        <w:t xml:space="preserve">και </w:t>
      </w:r>
      <w:r w:rsidRPr="00DA7159">
        <w:rPr>
          <w:rFonts w:ascii="Verdana" w:hAnsi="Verdana"/>
        </w:rPr>
        <w:t xml:space="preserve">θα ελέγχουν </w:t>
      </w:r>
      <w:r w:rsidR="0050142C" w:rsidRPr="00DA7159">
        <w:rPr>
          <w:rFonts w:ascii="Verdana" w:hAnsi="Verdana"/>
        </w:rPr>
        <w:t>το προσήκον μέτρο των περιορισμών (αναλογικότητα)</w:t>
      </w:r>
    </w:p>
    <w:p w14:paraId="470A9AA4" w14:textId="593B9520" w:rsidR="0050142C" w:rsidRDefault="00664901" w:rsidP="0076246D">
      <w:pPr>
        <w:pStyle w:val="ListParagraph"/>
        <w:numPr>
          <w:ilvl w:val="0"/>
          <w:numId w:val="2"/>
        </w:numPr>
        <w:spacing w:after="240" w:line="360" w:lineRule="auto"/>
        <w:ind w:left="714" w:hanging="357"/>
        <w:contextualSpacing w:val="0"/>
        <w:jc w:val="both"/>
        <w:rPr>
          <w:rFonts w:ascii="Verdana" w:hAnsi="Verdana"/>
        </w:rPr>
      </w:pPr>
      <w:r w:rsidRPr="00D03ED1">
        <w:rPr>
          <w:rFonts w:ascii="Verdana" w:hAnsi="Verdana"/>
          <w:b/>
        </w:rPr>
        <w:lastRenderedPageBreak/>
        <w:t xml:space="preserve">πρόβλεψη </w:t>
      </w:r>
      <w:r w:rsidR="00DA7159" w:rsidRPr="00D03ED1">
        <w:rPr>
          <w:rFonts w:ascii="Verdana" w:hAnsi="Verdana"/>
          <w:b/>
        </w:rPr>
        <w:t xml:space="preserve">ενδίκων </w:t>
      </w:r>
      <w:r w:rsidR="007F3CF7" w:rsidRPr="00D03ED1">
        <w:rPr>
          <w:rFonts w:ascii="Verdana" w:hAnsi="Verdana"/>
          <w:b/>
        </w:rPr>
        <w:t>βοηθημάτων</w:t>
      </w:r>
      <w:r w:rsidR="007F3CF7">
        <w:rPr>
          <w:rFonts w:ascii="Verdana" w:hAnsi="Verdana"/>
        </w:rPr>
        <w:t xml:space="preserve">, </w:t>
      </w:r>
      <w:r w:rsidR="00935758">
        <w:rPr>
          <w:rFonts w:ascii="Verdana" w:hAnsi="Verdana"/>
        </w:rPr>
        <w:t xml:space="preserve">με δικαίωμα </w:t>
      </w:r>
      <w:r w:rsidR="007F3CF7">
        <w:rPr>
          <w:rFonts w:ascii="Verdana" w:hAnsi="Verdana"/>
        </w:rPr>
        <w:t xml:space="preserve">πλήρους ενημέρωσης του υποκειμένου, αλλά και αποζημίωσής του σε περίπτωση </w:t>
      </w:r>
      <w:r w:rsidR="0075690C">
        <w:rPr>
          <w:rFonts w:ascii="Verdana" w:hAnsi="Verdana"/>
        </w:rPr>
        <w:t>παράνομης παραβίασης</w:t>
      </w:r>
      <w:r w:rsidR="007F3CF7">
        <w:rPr>
          <w:rFonts w:ascii="Verdana" w:hAnsi="Verdana"/>
        </w:rPr>
        <w:t xml:space="preserve">, </w:t>
      </w:r>
      <w:r w:rsidR="0075690C">
        <w:rPr>
          <w:rFonts w:ascii="Verdana" w:hAnsi="Verdana"/>
        </w:rPr>
        <w:t xml:space="preserve">καθώς και </w:t>
      </w:r>
      <w:r w:rsidR="007F3CF7">
        <w:rPr>
          <w:rFonts w:ascii="Verdana" w:hAnsi="Verdana"/>
        </w:rPr>
        <w:t xml:space="preserve">διοικητικές κυρώσεις για τους </w:t>
      </w:r>
      <w:proofErr w:type="spellStart"/>
      <w:r w:rsidR="007F3CF7">
        <w:rPr>
          <w:rFonts w:ascii="Verdana" w:hAnsi="Verdana"/>
        </w:rPr>
        <w:t>παραβιάζοντες</w:t>
      </w:r>
      <w:proofErr w:type="spellEnd"/>
      <w:r w:rsidR="0075690C">
        <w:rPr>
          <w:rFonts w:ascii="Verdana" w:hAnsi="Verdana"/>
        </w:rPr>
        <w:t xml:space="preserve"> (χρηματική αποζημίωση αλλά και πειθαρχικός έλεγχος)</w:t>
      </w:r>
    </w:p>
    <w:p w14:paraId="1BB23265" w14:textId="09839D38" w:rsidR="006305D9" w:rsidRDefault="0075690C" w:rsidP="0076246D">
      <w:pPr>
        <w:pStyle w:val="ListParagraph"/>
        <w:numPr>
          <w:ilvl w:val="0"/>
          <w:numId w:val="2"/>
        </w:numPr>
        <w:spacing w:after="240" w:line="360" w:lineRule="auto"/>
        <w:ind w:left="714" w:hanging="357"/>
        <w:contextualSpacing w:val="0"/>
        <w:jc w:val="both"/>
        <w:rPr>
          <w:rFonts w:ascii="Verdana" w:hAnsi="Verdana"/>
        </w:rPr>
      </w:pPr>
      <w:r>
        <w:rPr>
          <w:rFonts w:ascii="Verdana" w:hAnsi="Verdana"/>
        </w:rPr>
        <w:t xml:space="preserve">όσον αφορά ειδικά το </w:t>
      </w:r>
      <w:r w:rsidRPr="00D03ED1">
        <w:rPr>
          <w:rFonts w:ascii="Verdana" w:hAnsi="Verdana"/>
          <w:b/>
        </w:rPr>
        <w:t>δικηγορικό απόρρητο</w:t>
      </w:r>
      <w:r>
        <w:rPr>
          <w:rFonts w:ascii="Verdana" w:hAnsi="Verdana"/>
        </w:rPr>
        <w:t xml:space="preserve"> και τις πληροφορίες που περιέρχονται σε γνώση του δικηγόρου κατά την άσκηση του λειτουργήματος, </w:t>
      </w:r>
      <w:r w:rsidR="0057439C">
        <w:rPr>
          <w:rFonts w:ascii="Verdana" w:hAnsi="Verdana"/>
        </w:rPr>
        <w:t xml:space="preserve">χρειάζεται νομοθετική κατοχύρωση, ώστε: η προστασία να είναι απόλυτη (και να μην κάμπτεται ούτε καν με την επίκληση λόγων δημόσιας ασφάλειας) μόνο οι επικοινωνίες που λαμβάνουν χώρα εκτός των πλαισίων άσκησης του δικηγορικού λειτουργήματος να μπορούν να είναι αντικείμενο παρακολούθησης, οι αρμόδιες αρχές να υποχρεούνται στην χρήση όλων των δικονομικών και τεχνολογικών εργαλείων ώστε να προστατεύονται </w:t>
      </w:r>
      <w:r w:rsidR="00B079C3">
        <w:rPr>
          <w:rFonts w:ascii="Verdana" w:hAnsi="Verdana"/>
        </w:rPr>
        <w:t xml:space="preserve">απόλυτα </w:t>
      </w:r>
      <w:r w:rsidR="0057439C">
        <w:rPr>
          <w:rFonts w:ascii="Verdana" w:hAnsi="Verdana"/>
        </w:rPr>
        <w:t>οι επαγγελματικές επικοινωνίες των δικηγόρων και το περιεχόμενο αυτών</w:t>
      </w:r>
    </w:p>
    <w:p w14:paraId="2D71739E" w14:textId="77777777" w:rsidR="000346D7" w:rsidRPr="000346D7" w:rsidRDefault="000346D7" w:rsidP="000346D7">
      <w:pPr>
        <w:spacing w:after="240" w:line="288" w:lineRule="auto"/>
        <w:jc w:val="center"/>
        <w:rPr>
          <w:rFonts w:ascii="Verdana" w:hAnsi="Verdana"/>
        </w:rPr>
      </w:pPr>
      <w:r w:rsidRPr="000346D7">
        <w:rPr>
          <w:rFonts w:ascii="Verdana" w:hAnsi="Verdana"/>
        </w:rPr>
        <w:t>-----------------------------------------</w:t>
      </w:r>
    </w:p>
    <w:p w14:paraId="7F8C82FE" w14:textId="77777777" w:rsidR="003246B5" w:rsidRDefault="00B079C3" w:rsidP="00B079C3">
      <w:pPr>
        <w:spacing w:after="240" w:line="360" w:lineRule="auto"/>
        <w:jc w:val="both"/>
        <w:rPr>
          <w:rFonts w:ascii="Verdana" w:hAnsi="Verdana"/>
        </w:rPr>
      </w:pPr>
      <w:r>
        <w:rPr>
          <w:rFonts w:ascii="Verdana" w:hAnsi="Verdana"/>
        </w:rPr>
        <w:t xml:space="preserve">2.- Στη συνέχεια </w:t>
      </w:r>
      <w:r w:rsidR="00005DCA">
        <w:rPr>
          <w:rFonts w:ascii="Verdana" w:hAnsi="Verdana"/>
        </w:rPr>
        <w:t xml:space="preserve">σχολιάστηκε </w:t>
      </w:r>
      <w:r w:rsidR="003246B5">
        <w:rPr>
          <w:rFonts w:ascii="Verdana" w:hAnsi="Verdana"/>
        </w:rPr>
        <w:t xml:space="preserve">η νομοθεσία </w:t>
      </w:r>
      <w:r w:rsidRPr="00D03ED1">
        <w:rPr>
          <w:rFonts w:ascii="Verdana" w:hAnsi="Verdana"/>
          <w:b/>
          <w:lang w:val="en-US"/>
        </w:rPr>
        <w:t>CLOUD</w:t>
      </w:r>
      <w:r w:rsidR="003246B5" w:rsidRPr="00D03ED1">
        <w:rPr>
          <w:rFonts w:ascii="Verdana" w:hAnsi="Verdana"/>
          <w:b/>
        </w:rPr>
        <w:t>/</w:t>
      </w:r>
      <w:r w:rsidR="00005DCA" w:rsidRPr="00D03ED1">
        <w:rPr>
          <w:rFonts w:ascii="Verdana" w:hAnsi="Verdana"/>
          <w:b/>
        </w:rPr>
        <w:t>ΗΠΑ</w:t>
      </w:r>
      <w:r w:rsidRPr="00B079C3">
        <w:rPr>
          <w:rFonts w:ascii="Verdana" w:hAnsi="Verdana"/>
        </w:rPr>
        <w:t xml:space="preserve"> </w:t>
      </w:r>
      <w:r>
        <w:rPr>
          <w:rFonts w:ascii="Verdana" w:hAnsi="Verdana"/>
        </w:rPr>
        <w:t xml:space="preserve">που προβλέπει </w:t>
      </w:r>
      <w:r w:rsidR="00005DCA">
        <w:rPr>
          <w:rFonts w:ascii="Verdana" w:hAnsi="Verdana"/>
        </w:rPr>
        <w:t xml:space="preserve">μονομερώς </w:t>
      </w:r>
      <w:r>
        <w:rPr>
          <w:rFonts w:ascii="Verdana" w:hAnsi="Verdana"/>
        </w:rPr>
        <w:t xml:space="preserve">εφαρμογή και εκτός </w:t>
      </w:r>
      <w:r w:rsidR="003246B5">
        <w:rPr>
          <w:rFonts w:ascii="Verdana" w:hAnsi="Verdana"/>
        </w:rPr>
        <w:t xml:space="preserve">εδαφικής δικαιοδοσίας </w:t>
      </w:r>
      <w:r>
        <w:rPr>
          <w:rFonts w:ascii="Verdana" w:hAnsi="Verdana"/>
        </w:rPr>
        <w:t>ΗΠΑ</w:t>
      </w:r>
      <w:r w:rsidR="00005DCA">
        <w:rPr>
          <w:rFonts w:ascii="Verdana" w:hAnsi="Verdana"/>
        </w:rPr>
        <w:t xml:space="preserve">, χωρίς να λαμβάνει υπόψη την ευρωπαϊκό κανονισμό </w:t>
      </w:r>
      <w:r w:rsidR="00AB1A14">
        <w:rPr>
          <w:rFonts w:ascii="Verdana" w:hAnsi="Verdana"/>
          <w:lang w:val="en-US"/>
        </w:rPr>
        <w:t>GDPR</w:t>
      </w:r>
      <w:r w:rsidR="00005DCA">
        <w:rPr>
          <w:rFonts w:ascii="Verdana" w:hAnsi="Verdana"/>
        </w:rPr>
        <w:t xml:space="preserve">, με αποτέλεσμα να προκαλείται δυνητικά αδυναμία συμμόρφωσης ιδίως σε </w:t>
      </w:r>
      <w:r w:rsidR="00AB1A14">
        <w:rPr>
          <w:rFonts w:ascii="Verdana" w:hAnsi="Verdana"/>
        </w:rPr>
        <w:t>εταιρείες ΙΤ</w:t>
      </w:r>
      <w:r w:rsidR="00AB1A14" w:rsidRPr="00AB1A14">
        <w:rPr>
          <w:rFonts w:ascii="Verdana" w:hAnsi="Verdana"/>
        </w:rPr>
        <w:t xml:space="preserve"> </w:t>
      </w:r>
      <w:r w:rsidR="00AB1A14">
        <w:rPr>
          <w:rFonts w:ascii="Verdana" w:hAnsi="Verdana"/>
        </w:rPr>
        <w:t>–</w:t>
      </w:r>
      <w:r w:rsidR="00AB1A14" w:rsidRPr="00AB1A14">
        <w:rPr>
          <w:rFonts w:ascii="Verdana" w:hAnsi="Verdana"/>
        </w:rPr>
        <w:t xml:space="preserve"> </w:t>
      </w:r>
      <w:r w:rsidR="00AB1A14">
        <w:rPr>
          <w:rFonts w:ascii="Verdana" w:hAnsi="Verdana"/>
        </w:rPr>
        <w:t xml:space="preserve">λόγω πιθανών αντιφατικών υποχρεώσεων. Η ΕΕ αναμένει να λάβει εξουσιοδότηση από το Συμβούλιο για να διαπραγματευτεί με τις ΗΠΑ μια σύμβαση-πλαίσιο κατά παρέκκλιση του ά. 49 του Κανονισμού </w:t>
      </w:r>
      <w:r w:rsidR="00AB1A14">
        <w:rPr>
          <w:rFonts w:ascii="Verdana" w:hAnsi="Verdana"/>
          <w:lang w:val="en-US"/>
        </w:rPr>
        <w:t>GDPR</w:t>
      </w:r>
      <w:r w:rsidR="00AB1A14">
        <w:rPr>
          <w:rFonts w:ascii="Verdana" w:hAnsi="Verdana"/>
        </w:rPr>
        <w:t xml:space="preserve">. </w:t>
      </w:r>
    </w:p>
    <w:p w14:paraId="3092A79F" w14:textId="77777777" w:rsidR="00E20F73" w:rsidRDefault="00FD6049" w:rsidP="00B079C3">
      <w:pPr>
        <w:spacing w:after="240" w:line="360" w:lineRule="auto"/>
        <w:jc w:val="both"/>
        <w:rPr>
          <w:rFonts w:ascii="Verdana" w:hAnsi="Verdana"/>
        </w:rPr>
      </w:pPr>
      <w:r>
        <w:rPr>
          <w:rFonts w:ascii="Verdana" w:hAnsi="Verdana"/>
        </w:rPr>
        <w:t xml:space="preserve">Αποφασίστηκε να διατυπωθούν εγγράφως οι </w:t>
      </w:r>
      <w:r w:rsidRPr="00D03ED1">
        <w:rPr>
          <w:rFonts w:ascii="Verdana" w:hAnsi="Verdana"/>
          <w:b/>
        </w:rPr>
        <w:t>επιφυλάξεις</w:t>
      </w:r>
      <w:r>
        <w:rPr>
          <w:rFonts w:ascii="Verdana" w:hAnsi="Verdana"/>
        </w:rPr>
        <w:t xml:space="preserve"> της </w:t>
      </w:r>
      <w:r>
        <w:rPr>
          <w:rFonts w:ascii="Verdana" w:hAnsi="Verdana"/>
          <w:lang w:val="en-US"/>
        </w:rPr>
        <w:t>CCBE</w:t>
      </w:r>
      <w:r w:rsidRPr="00FD6049">
        <w:rPr>
          <w:rFonts w:ascii="Verdana" w:hAnsi="Verdana"/>
        </w:rPr>
        <w:t xml:space="preserve"> </w:t>
      </w:r>
      <w:r>
        <w:rPr>
          <w:rFonts w:ascii="Verdana" w:hAnsi="Verdana"/>
        </w:rPr>
        <w:t>σε σχετικό υπόμνημα</w:t>
      </w:r>
      <w:r w:rsidR="000616AB">
        <w:rPr>
          <w:rFonts w:ascii="Verdana" w:hAnsi="Verdana"/>
        </w:rPr>
        <w:t xml:space="preserve"> (</w:t>
      </w:r>
      <w:r>
        <w:rPr>
          <w:rFonts w:ascii="Verdana" w:hAnsi="Verdana"/>
        </w:rPr>
        <w:t xml:space="preserve">δεδομένου ότι το θέμα </w:t>
      </w:r>
      <w:r w:rsidR="00AB1A14">
        <w:rPr>
          <w:rFonts w:ascii="Verdana" w:hAnsi="Verdana"/>
        </w:rPr>
        <w:t xml:space="preserve">συνδέεται και με </w:t>
      </w:r>
      <w:r>
        <w:rPr>
          <w:rFonts w:ascii="Verdana" w:hAnsi="Verdana"/>
        </w:rPr>
        <w:t>την πρόταση για διμερή σύμβαση διατλαντικής συνεργασίας</w:t>
      </w:r>
      <w:r w:rsidR="00380BBF">
        <w:rPr>
          <w:rFonts w:ascii="Verdana" w:hAnsi="Verdana"/>
        </w:rPr>
        <w:t xml:space="preserve"> </w:t>
      </w:r>
      <w:r w:rsidR="000616AB">
        <w:rPr>
          <w:rFonts w:ascii="Verdana" w:hAnsi="Verdana"/>
        </w:rPr>
        <w:t xml:space="preserve">στο πεδίο της </w:t>
      </w:r>
      <w:r w:rsidR="00380BBF">
        <w:rPr>
          <w:rFonts w:ascii="Verdana" w:hAnsi="Verdana"/>
        </w:rPr>
        <w:t>συλλογή</w:t>
      </w:r>
      <w:r w:rsidR="000616AB">
        <w:rPr>
          <w:rFonts w:ascii="Verdana" w:hAnsi="Verdana"/>
        </w:rPr>
        <w:t>ς</w:t>
      </w:r>
      <w:r w:rsidR="00380BBF">
        <w:rPr>
          <w:rFonts w:ascii="Verdana" w:hAnsi="Verdana"/>
        </w:rPr>
        <w:t xml:space="preserve"> αποδεικτικών μέσων</w:t>
      </w:r>
      <w:r w:rsidR="000616AB">
        <w:rPr>
          <w:rFonts w:ascii="Verdana" w:hAnsi="Verdana"/>
        </w:rPr>
        <w:t>)</w:t>
      </w:r>
      <w:r w:rsidR="00E20F73">
        <w:rPr>
          <w:rFonts w:ascii="Verdana" w:hAnsi="Verdana"/>
        </w:rPr>
        <w:t>,</w:t>
      </w:r>
      <w:r w:rsidR="000616AB">
        <w:rPr>
          <w:rFonts w:ascii="Verdana" w:hAnsi="Verdana"/>
        </w:rPr>
        <w:t xml:space="preserve"> </w:t>
      </w:r>
      <w:r w:rsidR="00E20F73">
        <w:rPr>
          <w:rFonts w:ascii="Verdana" w:hAnsi="Verdana"/>
        </w:rPr>
        <w:t>που συνίστανται ιδίως στα εξής</w:t>
      </w:r>
      <w:r w:rsidR="000616AB">
        <w:rPr>
          <w:rFonts w:ascii="Verdana" w:hAnsi="Verdana"/>
        </w:rPr>
        <w:t xml:space="preserve">: </w:t>
      </w:r>
    </w:p>
    <w:p w14:paraId="4487A13A" w14:textId="77777777" w:rsidR="00E20F73" w:rsidRPr="00E20F73" w:rsidRDefault="000616AB" w:rsidP="00E20F73">
      <w:pPr>
        <w:pStyle w:val="ListParagraph"/>
        <w:numPr>
          <w:ilvl w:val="0"/>
          <w:numId w:val="3"/>
        </w:numPr>
        <w:spacing w:after="240" w:line="360" w:lineRule="auto"/>
        <w:jc w:val="both"/>
        <w:rPr>
          <w:rFonts w:ascii="Verdana" w:hAnsi="Verdana"/>
        </w:rPr>
      </w:pPr>
      <w:r w:rsidRPr="00E20F73">
        <w:rPr>
          <w:rFonts w:ascii="Verdana" w:hAnsi="Verdana"/>
        </w:rPr>
        <w:t>εξαιρετικά σύντομη διαβούλευση προ της ψηφίσεως του νόμου</w:t>
      </w:r>
    </w:p>
    <w:p w14:paraId="15BA2BDB" w14:textId="77777777" w:rsidR="00E20F73" w:rsidRPr="00E20F73" w:rsidRDefault="000616AB" w:rsidP="00E20F73">
      <w:pPr>
        <w:pStyle w:val="ListParagraph"/>
        <w:numPr>
          <w:ilvl w:val="0"/>
          <w:numId w:val="3"/>
        </w:numPr>
        <w:spacing w:after="240" w:line="360" w:lineRule="auto"/>
        <w:jc w:val="both"/>
        <w:rPr>
          <w:rFonts w:ascii="Verdana" w:hAnsi="Verdana"/>
        </w:rPr>
      </w:pPr>
      <w:r w:rsidRPr="00E20F73">
        <w:rPr>
          <w:rFonts w:ascii="Verdana" w:hAnsi="Verdana"/>
        </w:rPr>
        <w:t>εφαρμογή και εκτός συνόρων</w:t>
      </w:r>
    </w:p>
    <w:p w14:paraId="290F8C0E" w14:textId="77777777" w:rsidR="00E20F73" w:rsidRPr="00E20F73" w:rsidRDefault="000616AB" w:rsidP="00E20F73">
      <w:pPr>
        <w:pStyle w:val="ListParagraph"/>
        <w:numPr>
          <w:ilvl w:val="0"/>
          <w:numId w:val="3"/>
        </w:numPr>
        <w:spacing w:after="240" w:line="360" w:lineRule="auto"/>
        <w:jc w:val="both"/>
        <w:rPr>
          <w:rFonts w:ascii="Verdana" w:hAnsi="Verdana"/>
        </w:rPr>
      </w:pPr>
      <w:r w:rsidRPr="00E20F73">
        <w:rPr>
          <w:rFonts w:ascii="Verdana" w:hAnsi="Verdana"/>
        </w:rPr>
        <w:t xml:space="preserve">πιθανή σύγκρουση δικαίου με </w:t>
      </w:r>
      <w:r w:rsidR="008F6A3E" w:rsidRPr="00E20F73">
        <w:rPr>
          <w:rFonts w:ascii="Verdana" w:hAnsi="Verdana"/>
        </w:rPr>
        <w:t xml:space="preserve">την </w:t>
      </w:r>
      <w:proofErr w:type="spellStart"/>
      <w:r w:rsidR="008F6A3E" w:rsidRPr="00E20F73">
        <w:rPr>
          <w:rFonts w:ascii="Verdana" w:hAnsi="Verdana"/>
        </w:rPr>
        <w:t>ενωσιακή</w:t>
      </w:r>
      <w:proofErr w:type="spellEnd"/>
      <w:r w:rsidR="008F6A3E" w:rsidRPr="00E20F73">
        <w:rPr>
          <w:rFonts w:ascii="Verdana" w:hAnsi="Verdana"/>
        </w:rPr>
        <w:t xml:space="preserve"> νομοθεσία περί προσωπικών δεδομένων (</w:t>
      </w:r>
      <w:r w:rsidRPr="00E20F73">
        <w:rPr>
          <w:rFonts w:ascii="Verdana" w:hAnsi="Verdana"/>
          <w:lang w:val="en-US"/>
        </w:rPr>
        <w:t>GDPR</w:t>
      </w:r>
      <w:r w:rsidR="008F6A3E" w:rsidRPr="00E20F73">
        <w:rPr>
          <w:rFonts w:ascii="Verdana" w:hAnsi="Verdana"/>
        </w:rPr>
        <w:t>)</w:t>
      </w:r>
    </w:p>
    <w:p w14:paraId="0257935A" w14:textId="77777777" w:rsidR="00E20F73" w:rsidRPr="00E20F73" w:rsidRDefault="008F6A3E" w:rsidP="00E20F73">
      <w:pPr>
        <w:pStyle w:val="ListParagraph"/>
        <w:numPr>
          <w:ilvl w:val="0"/>
          <w:numId w:val="3"/>
        </w:numPr>
        <w:spacing w:after="240" w:line="360" w:lineRule="auto"/>
        <w:jc w:val="both"/>
        <w:rPr>
          <w:rFonts w:ascii="Verdana" w:hAnsi="Verdana"/>
        </w:rPr>
      </w:pPr>
      <w:r w:rsidRPr="00E20F73">
        <w:rPr>
          <w:rFonts w:ascii="Verdana" w:hAnsi="Verdana"/>
        </w:rPr>
        <w:lastRenderedPageBreak/>
        <w:t>παράβλεψη ασφαλιστικών δικλείδων που θεσπίζονται από την ΕΣΔΑ και τον ΕΧΑΔ (δεν προβλέπονται γνωστοποιήσεις και ένδικα βοηθήματα)</w:t>
      </w:r>
    </w:p>
    <w:p w14:paraId="02C9FDB9" w14:textId="1A17473A" w:rsidR="00E20F73" w:rsidRPr="00E20F73" w:rsidRDefault="008F6A3E" w:rsidP="00E20F73">
      <w:pPr>
        <w:pStyle w:val="ListParagraph"/>
        <w:numPr>
          <w:ilvl w:val="0"/>
          <w:numId w:val="3"/>
        </w:numPr>
        <w:spacing w:after="240" w:line="360" w:lineRule="auto"/>
        <w:jc w:val="both"/>
        <w:rPr>
          <w:rFonts w:ascii="Verdana" w:hAnsi="Verdana"/>
        </w:rPr>
      </w:pPr>
      <w:r w:rsidRPr="00E20F73">
        <w:rPr>
          <w:rFonts w:ascii="Verdana" w:hAnsi="Verdana"/>
        </w:rPr>
        <w:t xml:space="preserve">ασάφεια όσον αφορά τους όρους, την έκταση, τη διάρκεια της επιτήρησης </w:t>
      </w:r>
    </w:p>
    <w:p w14:paraId="45567BB0" w14:textId="77777777" w:rsidR="00E20F73" w:rsidRPr="00E20F73" w:rsidRDefault="008F6A3E" w:rsidP="00E20F73">
      <w:pPr>
        <w:pStyle w:val="ListParagraph"/>
        <w:numPr>
          <w:ilvl w:val="0"/>
          <w:numId w:val="3"/>
        </w:numPr>
        <w:spacing w:after="240" w:line="360" w:lineRule="auto"/>
        <w:jc w:val="both"/>
        <w:rPr>
          <w:rFonts w:ascii="Verdana" w:hAnsi="Verdana"/>
        </w:rPr>
      </w:pPr>
      <w:r w:rsidRPr="00E20F73">
        <w:rPr>
          <w:rFonts w:ascii="Verdana" w:hAnsi="Verdana"/>
        </w:rPr>
        <w:t>χαλαρή δικαστική συμμετοχή</w:t>
      </w:r>
      <w:r w:rsidR="004842CE" w:rsidRPr="00E20F73">
        <w:rPr>
          <w:rFonts w:ascii="Verdana" w:hAnsi="Verdana"/>
        </w:rPr>
        <w:t xml:space="preserve">, αλλά και η απουσία </w:t>
      </w:r>
      <w:r w:rsidR="00F459EC" w:rsidRPr="00E20F73">
        <w:rPr>
          <w:rFonts w:ascii="Verdana" w:hAnsi="Verdana"/>
        </w:rPr>
        <w:t xml:space="preserve">ελέγχου από αμερόληπτη αρχή </w:t>
      </w:r>
      <w:r w:rsidR="004842CE" w:rsidRPr="00E20F73">
        <w:rPr>
          <w:rFonts w:ascii="Verdana" w:hAnsi="Verdana"/>
        </w:rPr>
        <w:t xml:space="preserve">επιτήρησης μετά την έγκριση των </w:t>
      </w:r>
      <w:r w:rsidR="00F459EC" w:rsidRPr="00E20F73">
        <w:rPr>
          <w:rFonts w:ascii="Verdana" w:hAnsi="Verdana"/>
        </w:rPr>
        <w:t xml:space="preserve">μέτρων παρακολούθησης. </w:t>
      </w:r>
    </w:p>
    <w:p w14:paraId="19332671" w14:textId="0A143C35" w:rsidR="00B079C3" w:rsidRPr="00E20F73" w:rsidRDefault="00F459EC" w:rsidP="00E20F73">
      <w:pPr>
        <w:pStyle w:val="ListParagraph"/>
        <w:numPr>
          <w:ilvl w:val="0"/>
          <w:numId w:val="3"/>
        </w:numPr>
        <w:spacing w:after="240" w:line="360" w:lineRule="auto"/>
        <w:jc w:val="both"/>
        <w:rPr>
          <w:rFonts w:ascii="Verdana" w:hAnsi="Verdana"/>
        </w:rPr>
      </w:pPr>
      <w:r w:rsidRPr="00E20F73">
        <w:rPr>
          <w:rFonts w:ascii="Verdana" w:hAnsi="Verdana"/>
        </w:rPr>
        <w:t xml:space="preserve">Κυρίως, όμως, προβληματίζει </w:t>
      </w:r>
      <w:r w:rsidR="009C5AF0" w:rsidRPr="00E20F73">
        <w:rPr>
          <w:rFonts w:ascii="Verdana" w:hAnsi="Verdana"/>
        </w:rPr>
        <w:t xml:space="preserve">το </w:t>
      </w:r>
      <w:r w:rsidR="00850405" w:rsidRPr="00E20F73">
        <w:rPr>
          <w:rFonts w:ascii="Verdana" w:hAnsi="Verdana"/>
        </w:rPr>
        <w:t xml:space="preserve">γεγονός </w:t>
      </w:r>
      <w:r w:rsidRPr="00E20F73">
        <w:rPr>
          <w:rFonts w:ascii="Verdana" w:hAnsi="Verdana"/>
        </w:rPr>
        <w:t xml:space="preserve">ότι η νομοθεσία </w:t>
      </w:r>
      <w:r w:rsidRPr="00E20F73">
        <w:rPr>
          <w:rFonts w:ascii="Verdana" w:hAnsi="Verdana"/>
          <w:lang w:val="en-US"/>
        </w:rPr>
        <w:t>CLOUD</w:t>
      </w:r>
      <w:r w:rsidRPr="00E20F73">
        <w:rPr>
          <w:rFonts w:ascii="Verdana" w:hAnsi="Verdana"/>
        </w:rPr>
        <w:t xml:space="preserve"> δεν </w:t>
      </w:r>
      <w:r w:rsidR="00850405" w:rsidRPr="00E20F73">
        <w:rPr>
          <w:rFonts w:ascii="Verdana" w:hAnsi="Verdana"/>
        </w:rPr>
        <w:t xml:space="preserve">αξιολογεί το απόρρητο των επικοινωνιών των δικηγόρων με τους πελάτες τους, που συνιστά θεμελιώδες δικαίωμα στην ευρωπαϊκή έννομη τάξη. </w:t>
      </w:r>
    </w:p>
    <w:p w14:paraId="5B3A7DC6" w14:textId="77777777" w:rsidR="000346D7" w:rsidRPr="000346D7" w:rsidRDefault="000346D7" w:rsidP="000346D7">
      <w:pPr>
        <w:spacing w:after="240" w:line="288" w:lineRule="auto"/>
        <w:jc w:val="center"/>
        <w:rPr>
          <w:rFonts w:ascii="Verdana" w:hAnsi="Verdana"/>
        </w:rPr>
      </w:pPr>
      <w:r w:rsidRPr="000346D7">
        <w:rPr>
          <w:rFonts w:ascii="Verdana" w:hAnsi="Verdana"/>
        </w:rPr>
        <w:t>-----------------------------------------</w:t>
      </w:r>
    </w:p>
    <w:p w14:paraId="46A8E9A5" w14:textId="1D1DE0DB" w:rsidR="00850405" w:rsidRDefault="00850405" w:rsidP="00B079C3">
      <w:pPr>
        <w:spacing w:after="240" w:line="360" w:lineRule="auto"/>
        <w:jc w:val="both"/>
        <w:rPr>
          <w:rFonts w:ascii="Verdana" w:hAnsi="Verdana"/>
        </w:rPr>
      </w:pPr>
      <w:r>
        <w:rPr>
          <w:rFonts w:ascii="Verdana" w:hAnsi="Verdana"/>
        </w:rPr>
        <w:t xml:space="preserve">3.- Τέθηκαν υπόψη της ομάδας εργασίας οι </w:t>
      </w:r>
      <w:r w:rsidR="003246B5">
        <w:rPr>
          <w:rFonts w:ascii="Verdana" w:hAnsi="Verdana"/>
        </w:rPr>
        <w:t xml:space="preserve">ενέργειες </w:t>
      </w:r>
      <w:r>
        <w:rPr>
          <w:rFonts w:ascii="Verdana" w:hAnsi="Verdana"/>
        </w:rPr>
        <w:t>τη</w:t>
      </w:r>
      <w:r w:rsidR="003246B5">
        <w:rPr>
          <w:rFonts w:ascii="Verdana" w:hAnsi="Verdana"/>
        </w:rPr>
        <w:t>ς</w:t>
      </w:r>
      <w:r>
        <w:rPr>
          <w:rFonts w:ascii="Verdana" w:hAnsi="Verdana"/>
        </w:rPr>
        <w:t xml:space="preserve"> Επιτροπής για το </w:t>
      </w:r>
      <w:proofErr w:type="spellStart"/>
      <w:r>
        <w:rPr>
          <w:rFonts w:ascii="Verdana" w:hAnsi="Verdana"/>
        </w:rPr>
        <w:t>Κυβερνοέγκλημα</w:t>
      </w:r>
      <w:proofErr w:type="spellEnd"/>
      <w:r>
        <w:rPr>
          <w:rFonts w:ascii="Verdana" w:hAnsi="Verdana"/>
        </w:rPr>
        <w:t xml:space="preserve"> (</w:t>
      </w:r>
      <w:r>
        <w:rPr>
          <w:rFonts w:ascii="Verdana" w:hAnsi="Verdana"/>
          <w:lang w:val="en-US"/>
        </w:rPr>
        <w:t>Cybercrime</w:t>
      </w:r>
      <w:r w:rsidRPr="00850405">
        <w:rPr>
          <w:rFonts w:ascii="Verdana" w:hAnsi="Verdana"/>
        </w:rPr>
        <w:t xml:space="preserve"> </w:t>
      </w:r>
      <w:r>
        <w:rPr>
          <w:rFonts w:ascii="Verdana" w:hAnsi="Verdana"/>
          <w:lang w:val="en-US"/>
        </w:rPr>
        <w:t>Convention</w:t>
      </w:r>
      <w:r w:rsidRPr="00850405">
        <w:rPr>
          <w:rFonts w:ascii="Verdana" w:hAnsi="Verdana"/>
        </w:rPr>
        <w:t xml:space="preserve"> </w:t>
      </w:r>
      <w:r>
        <w:rPr>
          <w:rFonts w:ascii="Verdana" w:hAnsi="Verdana"/>
          <w:lang w:val="en-US"/>
        </w:rPr>
        <w:t>Committee</w:t>
      </w:r>
      <w:r w:rsidRPr="00850405">
        <w:rPr>
          <w:rFonts w:ascii="Verdana" w:hAnsi="Verdana"/>
        </w:rPr>
        <w:t xml:space="preserve"> </w:t>
      </w:r>
      <w:r>
        <w:rPr>
          <w:rFonts w:ascii="Verdana" w:hAnsi="Verdana"/>
          <w:lang w:val="en-US"/>
        </w:rPr>
        <w:t>T</w:t>
      </w:r>
      <w:r w:rsidRPr="00850405">
        <w:rPr>
          <w:rFonts w:ascii="Verdana" w:hAnsi="Verdana"/>
        </w:rPr>
        <w:t>-</w:t>
      </w:r>
      <w:r>
        <w:rPr>
          <w:rFonts w:ascii="Verdana" w:hAnsi="Verdana"/>
          <w:lang w:val="en-US"/>
        </w:rPr>
        <w:t>CY</w:t>
      </w:r>
      <w:r w:rsidRPr="00850405">
        <w:rPr>
          <w:rFonts w:ascii="Verdana" w:hAnsi="Verdana"/>
        </w:rPr>
        <w:t>)</w:t>
      </w:r>
      <w:r w:rsidR="003246B5">
        <w:rPr>
          <w:rFonts w:ascii="Verdana" w:hAnsi="Verdana"/>
        </w:rPr>
        <w:t xml:space="preserve"> με στόχο την σύνταξη 2</w:t>
      </w:r>
      <w:r w:rsidR="003246B5" w:rsidRPr="003246B5">
        <w:rPr>
          <w:rFonts w:ascii="Verdana" w:hAnsi="Verdana"/>
          <w:vertAlign w:val="superscript"/>
        </w:rPr>
        <w:t>ου</w:t>
      </w:r>
      <w:r w:rsidR="003246B5">
        <w:rPr>
          <w:rFonts w:ascii="Verdana" w:hAnsi="Verdana"/>
        </w:rPr>
        <w:t xml:space="preserve"> Πρόσθετου Πρωτοκόλλου στη Σύμβασης της Βουδαπέστης για το </w:t>
      </w:r>
      <w:proofErr w:type="spellStart"/>
      <w:r w:rsidR="003246B5">
        <w:rPr>
          <w:rFonts w:ascii="Verdana" w:hAnsi="Verdana"/>
        </w:rPr>
        <w:t>Κυβερνοέγκλημα</w:t>
      </w:r>
      <w:proofErr w:type="spellEnd"/>
      <w:r w:rsidR="003246B5">
        <w:rPr>
          <w:rFonts w:ascii="Verdana" w:hAnsi="Verdana"/>
        </w:rPr>
        <w:t>.</w:t>
      </w:r>
    </w:p>
    <w:p w14:paraId="3FD4AC92" w14:textId="77777777" w:rsidR="000346D7" w:rsidRPr="002C73E9" w:rsidRDefault="000346D7" w:rsidP="000346D7">
      <w:pPr>
        <w:spacing w:after="240" w:line="288" w:lineRule="auto"/>
        <w:jc w:val="center"/>
        <w:rPr>
          <w:rFonts w:ascii="Verdana" w:hAnsi="Verdana"/>
        </w:rPr>
      </w:pPr>
      <w:r w:rsidRPr="002C73E9">
        <w:rPr>
          <w:rFonts w:ascii="Verdana" w:hAnsi="Verdana"/>
        </w:rPr>
        <w:t>-----------------------------------------</w:t>
      </w:r>
    </w:p>
    <w:p w14:paraId="1E47ED47" w14:textId="41BE69D9" w:rsidR="008364DC" w:rsidRDefault="008364DC" w:rsidP="00B079C3">
      <w:pPr>
        <w:spacing w:after="240" w:line="360" w:lineRule="auto"/>
        <w:jc w:val="both"/>
        <w:rPr>
          <w:rFonts w:ascii="Verdana" w:hAnsi="Verdana"/>
        </w:rPr>
      </w:pPr>
      <w:r>
        <w:rPr>
          <w:rFonts w:ascii="Verdana" w:hAnsi="Verdana"/>
        </w:rPr>
        <w:t>4.- Τέλος</w:t>
      </w:r>
      <w:r w:rsidR="00A731C7">
        <w:rPr>
          <w:rFonts w:ascii="Verdana" w:hAnsi="Verdana"/>
        </w:rPr>
        <w:t xml:space="preserve">, συμφωνήθηκε ότι στην επόμενη συνάντηση της ομάδας εργασίας θα εγκριθεί το πρόγραμμα για την προσεχή τριετία, με επίκεντρο τη δράση </w:t>
      </w:r>
      <w:r w:rsidR="00A731C7" w:rsidRPr="00D03ED1">
        <w:rPr>
          <w:rFonts w:ascii="Verdana" w:hAnsi="Verdana"/>
          <w:b/>
          <w:lang w:val="en-US"/>
        </w:rPr>
        <w:t>E</w:t>
      </w:r>
      <w:r w:rsidR="00A731C7" w:rsidRPr="00D03ED1">
        <w:rPr>
          <w:rFonts w:ascii="Verdana" w:hAnsi="Verdana"/>
          <w:b/>
        </w:rPr>
        <w:t>-</w:t>
      </w:r>
      <w:r w:rsidR="00A731C7" w:rsidRPr="00D03ED1">
        <w:rPr>
          <w:rFonts w:ascii="Verdana" w:hAnsi="Verdana"/>
          <w:b/>
          <w:lang w:val="en-US"/>
        </w:rPr>
        <w:t>codex</w:t>
      </w:r>
      <w:r w:rsidR="00A731C7">
        <w:rPr>
          <w:rFonts w:ascii="Verdana" w:hAnsi="Verdana"/>
        </w:rPr>
        <w:t xml:space="preserve"> για την κατάρτιση κατάλληλων υποδομών για την διασύνδεση των δομών </w:t>
      </w:r>
      <w:r w:rsidR="00A731C7">
        <w:rPr>
          <w:rFonts w:ascii="Verdana" w:hAnsi="Verdana"/>
          <w:lang w:val="en-US"/>
        </w:rPr>
        <w:t>e</w:t>
      </w:r>
      <w:r w:rsidR="00A731C7" w:rsidRPr="00A731C7">
        <w:rPr>
          <w:rFonts w:ascii="Verdana" w:hAnsi="Verdana"/>
        </w:rPr>
        <w:t>-</w:t>
      </w:r>
      <w:r w:rsidR="00A731C7">
        <w:rPr>
          <w:rFonts w:ascii="Verdana" w:hAnsi="Verdana"/>
          <w:lang w:val="en-US"/>
        </w:rPr>
        <w:t>evidence</w:t>
      </w:r>
      <w:r w:rsidR="00A731C7" w:rsidRPr="00A731C7">
        <w:rPr>
          <w:rFonts w:ascii="Verdana" w:hAnsi="Verdana"/>
        </w:rPr>
        <w:t xml:space="preserve"> </w:t>
      </w:r>
      <w:r w:rsidR="00A731C7">
        <w:rPr>
          <w:rFonts w:ascii="Verdana" w:hAnsi="Verdana"/>
        </w:rPr>
        <w:t xml:space="preserve">και </w:t>
      </w:r>
      <w:r w:rsidR="00A731C7">
        <w:rPr>
          <w:rFonts w:ascii="Verdana" w:hAnsi="Verdana"/>
          <w:lang w:val="en-US"/>
        </w:rPr>
        <w:t>codex</w:t>
      </w:r>
      <w:r w:rsidR="00A731C7" w:rsidRPr="00A731C7">
        <w:rPr>
          <w:rFonts w:ascii="Verdana" w:hAnsi="Verdana"/>
        </w:rPr>
        <w:t xml:space="preserve"> </w:t>
      </w:r>
      <w:r w:rsidR="00A731C7">
        <w:rPr>
          <w:rFonts w:ascii="Verdana" w:hAnsi="Verdana"/>
        </w:rPr>
        <w:t>για την διασυνοριακή ανταλλαγή αποδεικτικών μέσων.</w:t>
      </w:r>
    </w:p>
    <w:p w14:paraId="0F12CEF3" w14:textId="75A5E9AF" w:rsidR="009C2270" w:rsidRPr="009C2270" w:rsidRDefault="009C2270" w:rsidP="009C2270">
      <w:pPr>
        <w:spacing w:after="0" w:line="360" w:lineRule="auto"/>
        <w:jc w:val="right"/>
        <w:rPr>
          <w:rFonts w:ascii="Verdana" w:hAnsi="Verdana"/>
          <w:b/>
        </w:rPr>
      </w:pPr>
      <w:r w:rsidRPr="009C2270">
        <w:rPr>
          <w:rFonts w:ascii="Verdana" w:hAnsi="Verdana"/>
          <w:b/>
        </w:rPr>
        <w:t>ΜΑΡΙΑ Π. ΣΤΑΜΑΤΟΓΙΑΝΝΗ</w:t>
      </w:r>
    </w:p>
    <w:p w14:paraId="7902DAF4" w14:textId="79052733" w:rsidR="009C2270" w:rsidRPr="009C2270" w:rsidRDefault="009C2270" w:rsidP="009C2270">
      <w:pPr>
        <w:spacing w:after="240" w:line="360" w:lineRule="auto"/>
        <w:jc w:val="right"/>
        <w:rPr>
          <w:rFonts w:ascii="Verdana" w:hAnsi="Verdana"/>
          <w:b/>
        </w:rPr>
      </w:pPr>
      <w:r w:rsidRPr="009C2270">
        <w:rPr>
          <w:rFonts w:ascii="Verdana" w:hAnsi="Verdana"/>
          <w:b/>
        </w:rPr>
        <w:t>Σύμβουλος ΔΣΠ</w:t>
      </w:r>
      <w:r>
        <w:rPr>
          <w:rFonts w:ascii="Verdana" w:hAnsi="Verdana"/>
          <w:b/>
        </w:rPr>
        <w:tab/>
      </w:r>
      <w:r>
        <w:rPr>
          <w:rFonts w:ascii="Verdana" w:hAnsi="Verdana"/>
          <w:b/>
        </w:rPr>
        <w:tab/>
      </w:r>
    </w:p>
    <w:sectPr w:rsidR="009C2270" w:rsidRPr="009C2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A2B"/>
    <w:multiLevelType w:val="hybridMultilevel"/>
    <w:tmpl w:val="D2CED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C539E4"/>
    <w:multiLevelType w:val="hybridMultilevel"/>
    <w:tmpl w:val="63701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340FA9"/>
    <w:multiLevelType w:val="hybridMultilevel"/>
    <w:tmpl w:val="F98A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43"/>
    <w:rsid w:val="00005DCA"/>
    <w:rsid w:val="000346D7"/>
    <w:rsid w:val="000616AB"/>
    <w:rsid w:val="002B12C5"/>
    <w:rsid w:val="003246B5"/>
    <w:rsid w:val="00380BBF"/>
    <w:rsid w:val="003E71E5"/>
    <w:rsid w:val="004842CE"/>
    <w:rsid w:val="0050142C"/>
    <w:rsid w:val="005315A2"/>
    <w:rsid w:val="0057439C"/>
    <w:rsid w:val="006305D9"/>
    <w:rsid w:val="00664901"/>
    <w:rsid w:val="0075690C"/>
    <w:rsid w:val="0076246D"/>
    <w:rsid w:val="007F3CF7"/>
    <w:rsid w:val="008364DC"/>
    <w:rsid w:val="00850405"/>
    <w:rsid w:val="008F6A3E"/>
    <w:rsid w:val="00935758"/>
    <w:rsid w:val="00990911"/>
    <w:rsid w:val="009C2270"/>
    <w:rsid w:val="009C5AF0"/>
    <w:rsid w:val="00A731C7"/>
    <w:rsid w:val="00AB1A14"/>
    <w:rsid w:val="00B079C3"/>
    <w:rsid w:val="00B71143"/>
    <w:rsid w:val="00C25561"/>
    <w:rsid w:val="00CF4AFF"/>
    <w:rsid w:val="00D03ED1"/>
    <w:rsid w:val="00DA7159"/>
    <w:rsid w:val="00DD2D6B"/>
    <w:rsid w:val="00E20F73"/>
    <w:rsid w:val="00F459EC"/>
    <w:rsid w:val="00FD60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697"/>
  <w15:chartTrackingRefBased/>
  <w15:docId w15:val="{34D5996D-D60F-430C-B7B8-1F44359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3</Pages>
  <Words>714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Maria Stamatogianni</cp:lastModifiedBy>
  <cp:revision>8</cp:revision>
  <dcterms:created xsi:type="dcterms:W3CDTF">2019-02-14T08:24:00Z</dcterms:created>
  <dcterms:modified xsi:type="dcterms:W3CDTF">2019-02-15T13:59:00Z</dcterms:modified>
</cp:coreProperties>
</file>